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4BDA"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6CBE0907" w14:textId="77777777" w:rsidTr="008347B2">
        <w:trPr>
          <w:trHeight w:val="624"/>
        </w:trPr>
        <w:tc>
          <w:tcPr>
            <w:tcW w:w="10308" w:type="dxa"/>
            <w:shd w:val="clear" w:color="auto" w:fill="8DB3E2" w:themeFill="text2" w:themeFillTint="66"/>
            <w:vAlign w:val="center"/>
          </w:tcPr>
          <w:p w14:paraId="0588D0C7" w14:textId="1438F357" w:rsidR="008347B2" w:rsidRPr="00A51F1D" w:rsidRDefault="008347B2" w:rsidP="005F4762">
            <w:pPr>
              <w:rPr>
                <w:rFonts w:asciiTheme="minorHAnsi" w:hAnsiTheme="minorHAnsi" w:cstheme="minorHAnsi"/>
                <w:b/>
                <w:sz w:val="36"/>
              </w:rPr>
            </w:pPr>
            <w:r w:rsidRPr="00A51F1D">
              <w:rPr>
                <w:rFonts w:asciiTheme="minorHAnsi" w:hAnsiTheme="minorHAnsi" w:cstheme="minorHAnsi"/>
                <w:b/>
                <w:sz w:val="36"/>
                <w:szCs w:val="36"/>
              </w:rPr>
              <w:t>POST TITLE:</w:t>
            </w:r>
            <w:r w:rsidRPr="00A51F1D">
              <w:rPr>
                <w:rFonts w:asciiTheme="minorHAnsi" w:hAnsiTheme="minorHAnsi" w:cstheme="minorHAnsi"/>
                <w:b/>
                <w:sz w:val="36"/>
                <w:szCs w:val="32"/>
              </w:rPr>
              <w:t xml:space="preserve"> </w:t>
            </w:r>
            <w:r w:rsidR="00472F5C" w:rsidRPr="00A51F1D">
              <w:rPr>
                <w:rFonts w:asciiTheme="minorHAnsi" w:hAnsiTheme="minorHAnsi"/>
                <w:b/>
                <w:sz w:val="36"/>
                <w:szCs w:val="36"/>
              </w:rPr>
              <w:t>SENDCo</w:t>
            </w:r>
          </w:p>
        </w:tc>
      </w:tr>
      <w:tr w:rsidR="008347B2" w:rsidRPr="00154D9A" w14:paraId="695EC422" w14:textId="77777777" w:rsidTr="008347B2">
        <w:trPr>
          <w:trHeight w:val="425"/>
        </w:trPr>
        <w:tc>
          <w:tcPr>
            <w:tcW w:w="10308" w:type="dxa"/>
            <w:shd w:val="clear" w:color="auto" w:fill="DBE5F1" w:themeFill="accent1" w:themeFillTint="33"/>
            <w:vAlign w:val="center"/>
          </w:tcPr>
          <w:p w14:paraId="516D4E39"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739D5687" w14:textId="77777777" w:rsidTr="008347B2">
        <w:trPr>
          <w:trHeight w:val="624"/>
        </w:trPr>
        <w:tc>
          <w:tcPr>
            <w:tcW w:w="10308" w:type="dxa"/>
            <w:shd w:val="clear" w:color="auto" w:fill="auto"/>
            <w:tcMar>
              <w:top w:w="170" w:type="dxa"/>
              <w:bottom w:w="170" w:type="dxa"/>
            </w:tcMar>
            <w:vAlign w:val="center"/>
          </w:tcPr>
          <w:p w14:paraId="5C2CE1C6" w14:textId="50960F27" w:rsidR="008347B2" w:rsidRDefault="005F468D" w:rsidP="007E0113">
            <w:pPr>
              <w:jc w:val="both"/>
              <w:rPr>
                <w:rFonts w:asciiTheme="minorHAnsi" w:hAnsiTheme="minorHAnsi" w:cs="Arial"/>
              </w:rPr>
            </w:pPr>
            <w:r w:rsidRPr="005F468D">
              <w:rPr>
                <w:rFonts w:asciiTheme="minorHAnsi" w:hAnsiTheme="minorHAnsi" w:cs="Arial"/>
              </w:rPr>
              <w:t xml:space="preserve">The Conditions of Employment for Teachers as shown in the current School Teachers Pay and Conditions document sets out the professional duties and responsibilities of all teachers other than Headteachers. </w:t>
            </w:r>
          </w:p>
          <w:p w14:paraId="2986534F" w14:textId="77777777" w:rsidR="005F468D" w:rsidRDefault="005F468D" w:rsidP="007E0113">
            <w:pPr>
              <w:jc w:val="both"/>
              <w:rPr>
                <w:rFonts w:asciiTheme="minorHAnsi" w:hAnsiTheme="minorHAnsi" w:cstheme="minorHAnsi"/>
              </w:rPr>
            </w:pPr>
          </w:p>
          <w:p w14:paraId="480389E4" w14:textId="3FEAE275" w:rsidR="005F468D" w:rsidRDefault="005F468D" w:rsidP="007E0113">
            <w:pPr>
              <w:jc w:val="both"/>
              <w:rPr>
                <w:rFonts w:asciiTheme="minorHAnsi" w:hAnsiTheme="minorHAnsi" w:cstheme="minorHAnsi"/>
              </w:rPr>
            </w:pPr>
            <w:r w:rsidRPr="005F468D">
              <w:rPr>
                <w:rFonts w:asciiTheme="minorHAnsi" w:hAnsiTheme="minorHAnsi" w:cstheme="minorHAnsi"/>
              </w:rPr>
              <w:t xml:space="preserve">The SENDCo, with support from </w:t>
            </w:r>
            <w:r>
              <w:rPr>
                <w:rFonts w:asciiTheme="minorHAnsi" w:hAnsiTheme="minorHAnsi" w:cstheme="minorHAnsi"/>
              </w:rPr>
              <w:t>Leadership Team</w:t>
            </w:r>
            <w:r w:rsidRPr="005F468D">
              <w:rPr>
                <w:rFonts w:asciiTheme="minorHAnsi" w:hAnsiTheme="minorHAnsi" w:cstheme="minorHAnsi"/>
              </w:rPr>
              <w:t>, will take responsibility for the day</w:t>
            </w:r>
            <w:r w:rsidR="005E26CB">
              <w:rPr>
                <w:rFonts w:asciiTheme="minorHAnsi" w:hAnsiTheme="minorHAnsi" w:cstheme="minorHAnsi"/>
              </w:rPr>
              <w:t>-</w:t>
            </w:r>
            <w:r w:rsidRPr="005F468D">
              <w:rPr>
                <w:rFonts w:asciiTheme="minorHAnsi" w:hAnsiTheme="minorHAnsi" w:cstheme="minorHAnsi"/>
              </w:rPr>
              <w:t>to</w:t>
            </w:r>
            <w:r w:rsidR="005E26CB">
              <w:rPr>
                <w:rFonts w:asciiTheme="minorHAnsi" w:hAnsiTheme="minorHAnsi" w:cstheme="minorHAnsi"/>
              </w:rPr>
              <w:t>-</w:t>
            </w:r>
            <w:r w:rsidRPr="005F468D">
              <w:rPr>
                <w:rFonts w:asciiTheme="minorHAnsi" w:hAnsiTheme="minorHAnsi" w:cstheme="minorHAnsi"/>
              </w:rPr>
              <w:t>day operation of provision made by the academy for students with SEND and will provide professional guidance in the areas of SEND in order to secure high quality teaching and the effective use of resources to bring about improved standards of achievement and progress for all students.</w:t>
            </w:r>
          </w:p>
          <w:p w14:paraId="54AD0C0F" w14:textId="77777777" w:rsidR="005F468D" w:rsidRDefault="005F468D" w:rsidP="007E0113">
            <w:pPr>
              <w:jc w:val="both"/>
              <w:rPr>
                <w:rFonts w:asciiTheme="minorHAnsi" w:hAnsiTheme="minorHAnsi" w:cstheme="minorHAnsi"/>
              </w:rPr>
            </w:pPr>
          </w:p>
          <w:p w14:paraId="57FB2803" w14:textId="6FDFD395" w:rsidR="005F468D" w:rsidRDefault="005F468D" w:rsidP="007E0113">
            <w:pPr>
              <w:jc w:val="both"/>
              <w:rPr>
                <w:rFonts w:asciiTheme="minorHAnsi" w:hAnsiTheme="minorHAnsi" w:cstheme="minorHAnsi"/>
              </w:rPr>
            </w:pPr>
            <w:r w:rsidRPr="005F468D">
              <w:rPr>
                <w:rFonts w:asciiTheme="minorHAnsi" w:hAnsiTheme="minorHAnsi" w:cstheme="minorHAnsi"/>
              </w:rPr>
              <w:t>The post-holder is responsible to the</w:t>
            </w:r>
            <w:r w:rsidR="005E124D">
              <w:rPr>
                <w:rFonts w:asciiTheme="minorHAnsi" w:hAnsiTheme="minorHAnsi" w:cstheme="minorHAnsi"/>
              </w:rPr>
              <w:t xml:space="preserve"> </w:t>
            </w:r>
            <w:proofErr w:type="gramStart"/>
            <w:r w:rsidRPr="005F468D">
              <w:rPr>
                <w:rFonts w:asciiTheme="minorHAnsi" w:hAnsiTheme="minorHAnsi" w:cstheme="minorHAnsi"/>
              </w:rPr>
              <w:t>Principal</w:t>
            </w:r>
            <w:proofErr w:type="gramEnd"/>
            <w:r w:rsidRPr="005F468D">
              <w:rPr>
                <w:rFonts w:asciiTheme="minorHAnsi" w:hAnsiTheme="minorHAnsi" w:cstheme="minorHAnsi"/>
              </w:rPr>
              <w:t xml:space="preserve"> in all matters</w:t>
            </w:r>
            <w:r>
              <w:rPr>
                <w:rFonts w:asciiTheme="minorHAnsi" w:hAnsiTheme="minorHAnsi" w:cstheme="minorHAnsi"/>
              </w:rPr>
              <w:t>.</w:t>
            </w:r>
          </w:p>
          <w:p w14:paraId="448E1786" w14:textId="77777777" w:rsidR="005F468D" w:rsidRDefault="005F468D" w:rsidP="007E0113">
            <w:pPr>
              <w:jc w:val="both"/>
              <w:rPr>
                <w:rFonts w:asciiTheme="minorHAnsi" w:hAnsiTheme="minorHAnsi" w:cstheme="minorHAnsi"/>
              </w:rPr>
            </w:pPr>
          </w:p>
          <w:p w14:paraId="4BA77E19" w14:textId="009E29FC" w:rsidR="005F468D" w:rsidRPr="005F4762" w:rsidRDefault="005F468D" w:rsidP="007E0113">
            <w:pPr>
              <w:jc w:val="both"/>
              <w:rPr>
                <w:rFonts w:asciiTheme="minorHAnsi" w:hAnsiTheme="minorHAnsi" w:cstheme="minorHAnsi"/>
              </w:rPr>
            </w:pPr>
            <w:r w:rsidRPr="005F468D">
              <w:rPr>
                <w:rFonts w:asciiTheme="minorHAnsi" w:hAnsiTheme="minorHAnsi" w:cstheme="minorHAnsi"/>
              </w:rPr>
              <w:t>The following is the description of the additional duties and responsibilities attached to this post.</w:t>
            </w:r>
          </w:p>
        </w:tc>
      </w:tr>
      <w:tr w:rsidR="008347B2" w:rsidRPr="00154D9A" w14:paraId="7ABDFC90" w14:textId="77777777" w:rsidTr="00AA6780">
        <w:trPr>
          <w:trHeight w:val="425"/>
        </w:trPr>
        <w:tc>
          <w:tcPr>
            <w:tcW w:w="10308" w:type="dxa"/>
            <w:shd w:val="clear" w:color="auto" w:fill="DBE5F1" w:themeFill="accent1" w:themeFillTint="33"/>
            <w:vAlign w:val="center"/>
          </w:tcPr>
          <w:p w14:paraId="760D63E3"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0C22FD69" w14:textId="77777777" w:rsidTr="008347B2">
        <w:trPr>
          <w:trHeight w:val="624"/>
        </w:trPr>
        <w:tc>
          <w:tcPr>
            <w:tcW w:w="10308" w:type="dxa"/>
            <w:shd w:val="clear" w:color="auto" w:fill="auto"/>
            <w:tcMar>
              <w:top w:w="170" w:type="dxa"/>
              <w:bottom w:w="170" w:type="dxa"/>
            </w:tcMar>
            <w:vAlign w:val="center"/>
          </w:tcPr>
          <w:p w14:paraId="12B16C9C" w14:textId="04149AC1" w:rsidR="005F468D" w:rsidRPr="005F468D" w:rsidRDefault="005F468D" w:rsidP="005F468D">
            <w:pPr>
              <w:pStyle w:val="ListParagraph"/>
              <w:numPr>
                <w:ilvl w:val="0"/>
                <w:numId w:val="27"/>
              </w:numPr>
              <w:spacing w:before="60"/>
              <w:jc w:val="both"/>
              <w:rPr>
                <w:rFonts w:asciiTheme="minorHAnsi" w:hAnsiTheme="minorHAnsi" w:cstheme="minorHAnsi"/>
                <w:b/>
                <w:bCs/>
                <w:lang w:eastAsia="en-GB"/>
              </w:rPr>
            </w:pPr>
            <w:r w:rsidRPr="005F468D">
              <w:rPr>
                <w:rFonts w:asciiTheme="minorHAnsi" w:hAnsiTheme="minorHAnsi" w:cstheme="minorHAnsi"/>
                <w:b/>
                <w:bCs/>
                <w:lang w:eastAsia="en-GB"/>
              </w:rPr>
              <w:t>SPECIFIC RESPONSIBILITIES:</w:t>
            </w:r>
            <w:r w:rsidRPr="005F468D">
              <w:rPr>
                <w:rFonts w:asciiTheme="minorHAnsi" w:hAnsiTheme="minorHAnsi" w:cstheme="minorHAnsi"/>
                <w:b/>
                <w:bCs/>
                <w:lang w:eastAsia="en-GB"/>
              </w:rPr>
              <w:tab/>
            </w:r>
          </w:p>
          <w:p w14:paraId="3BA064C1" w14:textId="77777777" w:rsidR="005F468D" w:rsidRPr="005F468D" w:rsidRDefault="005F468D" w:rsidP="005F468D">
            <w:pPr>
              <w:spacing w:before="60"/>
              <w:jc w:val="both"/>
              <w:rPr>
                <w:rFonts w:asciiTheme="minorHAnsi" w:hAnsiTheme="minorHAnsi" w:cstheme="minorHAnsi"/>
                <w:lang w:eastAsia="en-GB"/>
              </w:rPr>
            </w:pPr>
          </w:p>
          <w:p w14:paraId="01DD48A5" w14:textId="3EF7005A"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ensure that all staff recognise the importance of planning their lessons in ways that will be inclusive for all learners</w:t>
            </w:r>
          </w:p>
          <w:p w14:paraId="14FC6233" w14:textId="28E3530C"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actively collaborate with subject leaders, to ensure that the learning of all students is given equal propriety, and that available resources are used efficiently and effectively in support of this purpose</w:t>
            </w:r>
          </w:p>
          <w:p w14:paraId="66149EBA" w14:textId="72DCD7BF"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 xml:space="preserve">To support, guide and motivate colleagues, particularly in disseminating </w:t>
            </w:r>
            <w:r w:rsidRPr="005F468D">
              <w:rPr>
                <w:rFonts w:asciiTheme="minorHAnsi" w:hAnsiTheme="minorHAnsi" w:cstheme="minorHAnsi"/>
                <w:lang w:eastAsia="en-GB"/>
              </w:rPr>
              <w:tab/>
              <w:t>examples of effective practice in relation to students with SEND</w:t>
            </w:r>
          </w:p>
          <w:p w14:paraId="490244FA" w14:textId="19B69784"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work with staff, parents/carers, the Local Governing Body and other agencies to co-ordinate the implementation of the SEND policy ensuring that the name of any student identified as a cause for concern, is entered on the SEND register and then is appropriately followed through in terms of the Code of Practice suggested procedures</w:t>
            </w:r>
          </w:p>
          <w:p w14:paraId="2CD31564" w14:textId="602ADEF7"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 xml:space="preserve">To keep the </w:t>
            </w:r>
            <w:proofErr w:type="gramStart"/>
            <w:r w:rsidRPr="005F468D">
              <w:rPr>
                <w:rFonts w:asciiTheme="minorHAnsi" w:hAnsiTheme="minorHAnsi" w:cstheme="minorHAnsi"/>
                <w:lang w:eastAsia="en-GB"/>
              </w:rPr>
              <w:t>Principal</w:t>
            </w:r>
            <w:proofErr w:type="gramEnd"/>
            <w:r w:rsidRPr="005F468D">
              <w:rPr>
                <w:rFonts w:asciiTheme="minorHAnsi" w:hAnsiTheme="minorHAnsi" w:cstheme="minorHAnsi"/>
                <w:lang w:eastAsia="en-GB"/>
              </w:rPr>
              <w:t xml:space="preserve"> and other colleagues as appropriate, informed of the operation and review of the SEND policy, ensuring the website documentation for SEND is current</w:t>
            </w:r>
          </w:p>
          <w:p w14:paraId="46679E5E" w14:textId="2CA0BD76"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develop effective working relationships with parents and carers</w:t>
            </w:r>
          </w:p>
          <w:p w14:paraId="1A547528" w14:textId="0CA4BE52"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develop and implement the SEND policy in order to raise achievement and improve the quality of education for all</w:t>
            </w:r>
          </w:p>
          <w:p w14:paraId="0B3F0B05" w14:textId="667409B1"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attend LA and ACET SENDCo meetings, and other meetings when required which secure inclusion for students.</w:t>
            </w:r>
          </w:p>
          <w:p w14:paraId="279CB568" w14:textId="7767DC1C"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monitor the supervision of students during lunchtime, ensuring students remain safe and have an identified place of safety if required</w:t>
            </w:r>
          </w:p>
          <w:p w14:paraId="65BE609B" w14:textId="35396F19" w:rsidR="005F468D" w:rsidRPr="005F468D" w:rsidRDefault="005F468D" w:rsidP="005F468D">
            <w:pPr>
              <w:pStyle w:val="ListParagraph"/>
              <w:numPr>
                <w:ilvl w:val="0"/>
                <w:numId w:val="31"/>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become a member of the academy’s safeguarding team and work closely with appropriate external agencies</w:t>
            </w:r>
          </w:p>
          <w:p w14:paraId="538CF6C6" w14:textId="12603D4B" w:rsidR="005F468D" w:rsidRDefault="005F468D" w:rsidP="005F468D">
            <w:pPr>
              <w:spacing w:before="60"/>
              <w:jc w:val="both"/>
              <w:rPr>
                <w:rFonts w:asciiTheme="minorHAnsi" w:hAnsiTheme="minorHAnsi" w:cstheme="minorHAnsi"/>
                <w:lang w:eastAsia="en-GB"/>
              </w:rPr>
            </w:pPr>
          </w:p>
          <w:p w14:paraId="0BFA5817" w14:textId="77777777" w:rsidR="005F468D" w:rsidRPr="005F468D" w:rsidRDefault="005F468D" w:rsidP="005F468D">
            <w:pPr>
              <w:spacing w:before="60"/>
              <w:jc w:val="both"/>
              <w:rPr>
                <w:rFonts w:asciiTheme="minorHAnsi" w:hAnsiTheme="minorHAnsi" w:cstheme="minorHAnsi"/>
                <w:lang w:eastAsia="en-GB"/>
              </w:rPr>
            </w:pPr>
          </w:p>
          <w:p w14:paraId="61E3D9F4" w14:textId="533EBEBB" w:rsidR="005F468D" w:rsidRPr="005F468D" w:rsidRDefault="005F468D" w:rsidP="005F468D">
            <w:pPr>
              <w:pStyle w:val="ListParagraph"/>
              <w:numPr>
                <w:ilvl w:val="0"/>
                <w:numId w:val="27"/>
              </w:numPr>
              <w:spacing w:before="60"/>
              <w:jc w:val="both"/>
              <w:rPr>
                <w:rFonts w:asciiTheme="minorHAnsi" w:hAnsiTheme="minorHAnsi" w:cstheme="minorHAnsi"/>
                <w:b/>
                <w:bCs/>
                <w:lang w:eastAsia="en-GB"/>
              </w:rPr>
            </w:pPr>
            <w:r w:rsidRPr="005F468D">
              <w:rPr>
                <w:rFonts w:asciiTheme="minorHAnsi" w:hAnsiTheme="minorHAnsi" w:cstheme="minorHAnsi"/>
                <w:b/>
                <w:bCs/>
                <w:lang w:eastAsia="en-GB"/>
              </w:rPr>
              <w:lastRenderedPageBreak/>
              <w:t xml:space="preserve">STRATEGIC DIRECTION &amp; DEVELOPMENT OF SEND PROVISION </w:t>
            </w:r>
          </w:p>
          <w:p w14:paraId="7D2D3F2D" w14:textId="77777777" w:rsidR="005F468D" w:rsidRPr="005F468D" w:rsidRDefault="005F468D" w:rsidP="005F468D">
            <w:pPr>
              <w:spacing w:before="60"/>
              <w:jc w:val="both"/>
              <w:rPr>
                <w:rFonts w:asciiTheme="minorHAnsi" w:hAnsiTheme="minorHAnsi" w:cstheme="minorHAnsi"/>
                <w:lang w:eastAsia="en-GB"/>
              </w:rPr>
            </w:pPr>
          </w:p>
          <w:p w14:paraId="10E48C0A" w14:textId="0D1360B0" w:rsidR="005F468D" w:rsidRP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contribute effectively to the development of a positive ethos for raising attainment and the successful inclusion of all SEND students</w:t>
            </w:r>
          </w:p>
          <w:p w14:paraId="2ADD0FEF" w14:textId="6743A353" w:rsidR="005F468D" w:rsidRP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 xml:space="preserve">To support staff in understanding the learning needs of students with SEND and </w:t>
            </w:r>
            <w:r w:rsidRPr="005F468D">
              <w:rPr>
                <w:rFonts w:asciiTheme="minorHAnsi" w:hAnsiTheme="minorHAnsi" w:cstheme="minorHAnsi"/>
                <w:lang w:eastAsia="en-GB"/>
              </w:rPr>
              <w:tab/>
              <w:t>the importance of raising their achievements</w:t>
            </w:r>
          </w:p>
          <w:p w14:paraId="4077A2A8" w14:textId="55778740" w:rsidR="005F468D" w:rsidRP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 xml:space="preserve">To develop and maintain effective systems to identify and meet individual needs </w:t>
            </w:r>
            <w:r w:rsidRPr="005F468D">
              <w:rPr>
                <w:rFonts w:asciiTheme="minorHAnsi" w:hAnsiTheme="minorHAnsi" w:cstheme="minorHAnsi"/>
                <w:lang w:eastAsia="en-GB"/>
              </w:rPr>
              <w:tab/>
              <w:t>that are well co-ordinated, monitored, evaluated and reviewed</w:t>
            </w:r>
          </w:p>
          <w:p w14:paraId="14BFF957" w14:textId="33F5BA78" w:rsid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monitor to progress made in setting objectives and targets for students with SEND</w:t>
            </w:r>
            <w:r>
              <w:rPr>
                <w:rFonts w:asciiTheme="minorHAnsi" w:hAnsiTheme="minorHAnsi" w:cstheme="minorHAnsi"/>
                <w:lang w:eastAsia="en-GB"/>
              </w:rPr>
              <w:t xml:space="preserve"> </w:t>
            </w:r>
          </w:p>
          <w:p w14:paraId="6A4B299D" w14:textId="23CD3468" w:rsidR="005F468D" w:rsidRPr="005F468D" w:rsidRDefault="005F468D" w:rsidP="005F468D">
            <w:pPr>
              <w:pStyle w:val="ListParagraph"/>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and assist in the evaluation of the effectiveness of teaching and learning and use the analysis to maximise the achievements of students with SEND</w:t>
            </w:r>
          </w:p>
          <w:p w14:paraId="6B2083AD" w14:textId="2CDED818" w:rsidR="005F468D" w:rsidRP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analyse and interpret relevant information, local and academy data, plus research and inspection evidence to inform the SEND policy, practices, expectations, targets and teaching methods</w:t>
            </w:r>
          </w:p>
          <w:p w14:paraId="188AC4E3" w14:textId="731FFAA1" w:rsidR="005F468D" w:rsidRPr="005F468D" w:rsidRDefault="005F468D" w:rsidP="005F468D">
            <w:pPr>
              <w:pStyle w:val="ListParagraph"/>
              <w:numPr>
                <w:ilvl w:val="0"/>
                <w:numId w:val="32"/>
              </w:numPr>
              <w:spacing w:before="60"/>
              <w:contextualSpacing w:val="0"/>
              <w:jc w:val="both"/>
              <w:rPr>
                <w:rFonts w:asciiTheme="minorHAnsi" w:hAnsiTheme="minorHAnsi" w:cstheme="minorHAnsi"/>
                <w:lang w:eastAsia="en-GB"/>
              </w:rPr>
            </w:pPr>
            <w:r w:rsidRPr="005F468D">
              <w:rPr>
                <w:rFonts w:asciiTheme="minorHAnsi" w:hAnsiTheme="minorHAnsi" w:cstheme="minorHAnsi"/>
                <w:lang w:eastAsia="en-GB"/>
              </w:rPr>
              <w:t>To oversee and continue to develop the nurture provision for our most vulnerable students within key stages 3 and 4</w:t>
            </w:r>
          </w:p>
          <w:p w14:paraId="1EAFFE73" w14:textId="77777777" w:rsidR="005F468D" w:rsidRPr="005F468D" w:rsidRDefault="005F468D" w:rsidP="005F468D">
            <w:pPr>
              <w:spacing w:before="60"/>
              <w:jc w:val="both"/>
              <w:rPr>
                <w:rFonts w:asciiTheme="minorHAnsi" w:hAnsiTheme="minorHAnsi" w:cstheme="minorHAnsi"/>
                <w:lang w:eastAsia="en-GB"/>
              </w:rPr>
            </w:pPr>
          </w:p>
          <w:p w14:paraId="72E4E516" w14:textId="74471BF9" w:rsidR="005F468D" w:rsidRPr="005F468D" w:rsidRDefault="005F468D" w:rsidP="005F468D">
            <w:pPr>
              <w:pStyle w:val="ListParagraph"/>
              <w:numPr>
                <w:ilvl w:val="0"/>
                <w:numId w:val="27"/>
              </w:numPr>
              <w:spacing w:before="60"/>
              <w:jc w:val="both"/>
              <w:rPr>
                <w:rFonts w:asciiTheme="minorHAnsi" w:hAnsiTheme="minorHAnsi" w:cstheme="minorHAnsi"/>
                <w:b/>
                <w:bCs/>
                <w:lang w:eastAsia="en-GB"/>
              </w:rPr>
            </w:pPr>
            <w:r w:rsidRPr="005F468D">
              <w:rPr>
                <w:rFonts w:asciiTheme="minorHAnsi" w:hAnsiTheme="minorHAnsi" w:cstheme="minorHAnsi"/>
                <w:b/>
                <w:bCs/>
                <w:lang w:eastAsia="en-GB"/>
              </w:rPr>
              <w:t>TEACHING AND LEARNING</w:t>
            </w:r>
          </w:p>
          <w:p w14:paraId="69B1B1AB" w14:textId="0C33E39B" w:rsidR="005F468D" w:rsidRDefault="005F468D" w:rsidP="005F468D">
            <w:pPr>
              <w:spacing w:before="60"/>
              <w:jc w:val="both"/>
              <w:rPr>
                <w:rFonts w:asciiTheme="minorHAnsi" w:hAnsiTheme="minorHAnsi" w:cstheme="minorHAnsi"/>
                <w:lang w:eastAsia="en-GB"/>
              </w:rPr>
            </w:pPr>
            <w:r w:rsidRPr="005F468D">
              <w:rPr>
                <w:rFonts w:asciiTheme="minorHAnsi" w:hAnsiTheme="minorHAnsi" w:cstheme="minorHAnsi"/>
                <w:lang w:eastAsia="en-GB"/>
              </w:rPr>
              <w:t>Key Accountabilities (reviewed annually):</w:t>
            </w:r>
          </w:p>
          <w:p w14:paraId="3DAF671C" w14:textId="77777777" w:rsidR="005F468D" w:rsidRPr="005F468D" w:rsidRDefault="005F468D" w:rsidP="005F468D">
            <w:pPr>
              <w:spacing w:before="60"/>
              <w:jc w:val="both"/>
              <w:rPr>
                <w:rFonts w:asciiTheme="minorHAnsi" w:hAnsiTheme="minorHAnsi" w:cstheme="minorHAnsi"/>
                <w:lang w:eastAsia="en-GB"/>
              </w:rPr>
            </w:pPr>
          </w:p>
          <w:p w14:paraId="6A35B2D2" w14:textId="3FA15D16" w:rsidR="005F468D" w:rsidRPr="005F468D" w:rsidRDefault="005F468D" w:rsidP="005F468D">
            <w:pPr>
              <w:spacing w:before="60"/>
              <w:jc w:val="both"/>
              <w:rPr>
                <w:rFonts w:asciiTheme="minorHAnsi" w:hAnsiTheme="minorHAnsi" w:cstheme="minorHAnsi"/>
                <w:lang w:eastAsia="en-GB"/>
              </w:rPr>
            </w:pPr>
            <w:r w:rsidRPr="005F468D">
              <w:rPr>
                <w:rFonts w:asciiTheme="minorHAnsi" w:hAnsiTheme="minorHAnsi" w:cstheme="minorHAnsi"/>
                <w:lang w:eastAsia="en-GB"/>
              </w:rPr>
              <w:t>To ensure positive progression for students with SEND by</w:t>
            </w:r>
            <w:r>
              <w:rPr>
                <w:rFonts w:asciiTheme="minorHAnsi" w:hAnsiTheme="minorHAnsi" w:cstheme="minorHAnsi"/>
                <w:lang w:eastAsia="en-GB"/>
              </w:rPr>
              <w:t xml:space="preserve">: </w:t>
            </w:r>
          </w:p>
          <w:p w14:paraId="291A0F63" w14:textId="4C9FF6B5"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Consulting, engaging and communicating with colleagues, parents / carers and students to enhance learning and achievement</w:t>
            </w:r>
          </w:p>
          <w:p w14:paraId="67CD0E6C" w14:textId="372DCD5A"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Monitoring, reviewing and evaluating provision for SEND students through statutory annual reviews.</w:t>
            </w:r>
          </w:p>
          <w:p w14:paraId="40AF2DAF" w14:textId="72A30DFE"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Drawing on external sources of expertise to support progression of vulnerable students.</w:t>
            </w:r>
          </w:p>
          <w:p w14:paraId="1B78745C" w14:textId="22884EA9"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Working in a collaborative, multi-agency way following statutory legislation and guidance</w:t>
            </w:r>
          </w:p>
          <w:p w14:paraId="7714A278" w14:textId="11887A21"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Informing staff and parents/carers of planned strategies to give mainstream access for students with SEND</w:t>
            </w:r>
          </w:p>
          <w:p w14:paraId="6DA9C682" w14:textId="1D110CF4" w:rsidR="005F468D" w:rsidRPr="005F468D" w:rsidRDefault="005F468D" w:rsidP="005F468D">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Supporting the provision mapping process within the academy for SEND working alongside the ACET SENDCo</w:t>
            </w:r>
          </w:p>
          <w:p w14:paraId="63A6AC0B" w14:textId="3633BC9E" w:rsidR="008347B2" w:rsidRPr="00790A29" w:rsidRDefault="005F468D" w:rsidP="00790A29">
            <w:pPr>
              <w:pStyle w:val="ListParagraph"/>
              <w:numPr>
                <w:ilvl w:val="0"/>
                <w:numId w:val="33"/>
              </w:numPr>
              <w:spacing w:before="60"/>
              <w:jc w:val="both"/>
              <w:rPr>
                <w:rFonts w:asciiTheme="minorHAnsi" w:hAnsiTheme="minorHAnsi" w:cstheme="minorHAnsi"/>
                <w:lang w:eastAsia="en-GB"/>
              </w:rPr>
            </w:pPr>
            <w:r w:rsidRPr="005F468D">
              <w:rPr>
                <w:rFonts w:asciiTheme="minorHAnsi" w:hAnsiTheme="minorHAnsi" w:cstheme="minorHAnsi"/>
                <w:lang w:eastAsia="en-GB"/>
              </w:rPr>
              <w:t>Inducting, supporting, training and monitoring staff new to the faculty</w:t>
            </w:r>
          </w:p>
        </w:tc>
      </w:tr>
      <w:tr w:rsidR="008347B2" w:rsidRPr="00154D9A" w14:paraId="4FA9F59A" w14:textId="77777777" w:rsidTr="00AA6780">
        <w:trPr>
          <w:trHeight w:val="425"/>
        </w:trPr>
        <w:tc>
          <w:tcPr>
            <w:tcW w:w="10308" w:type="dxa"/>
            <w:shd w:val="clear" w:color="auto" w:fill="DBE5F1" w:themeFill="accent1" w:themeFillTint="33"/>
            <w:vAlign w:val="center"/>
          </w:tcPr>
          <w:p w14:paraId="35606FB3"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0A92550E" w14:textId="77777777" w:rsidTr="008347B2">
        <w:trPr>
          <w:trHeight w:val="624"/>
        </w:trPr>
        <w:tc>
          <w:tcPr>
            <w:tcW w:w="10308" w:type="dxa"/>
            <w:shd w:val="clear" w:color="auto" w:fill="auto"/>
            <w:tcMar>
              <w:top w:w="170" w:type="dxa"/>
              <w:bottom w:w="170" w:type="dxa"/>
            </w:tcMar>
            <w:vAlign w:val="center"/>
          </w:tcPr>
          <w:p w14:paraId="444F04BD"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15F86EB2" w14:textId="77777777" w:rsidR="00790A29" w:rsidRPr="00154D9A" w:rsidRDefault="00790A29" w:rsidP="00790A29">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76BB6533"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 xml:space="preserve">Appropriately maintain the confidentiality of the working </w:t>
            </w:r>
            <w:proofErr w:type="gramStart"/>
            <w:r w:rsidRPr="00154D9A">
              <w:rPr>
                <w:rFonts w:asciiTheme="minorHAnsi" w:hAnsiTheme="minorHAnsi" w:cstheme="minorHAnsi"/>
                <w:bCs/>
              </w:rPr>
              <w:t>environment;</w:t>
            </w:r>
            <w:proofErr w:type="gramEnd"/>
          </w:p>
          <w:p w14:paraId="0E263AC2"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Promote and support the aims, ethos and vision of the academy/</w:t>
            </w:r>
            <w:proofErr w:type="gramStart"/>
            <w:r w:rsidRPr="00154D9A">
              <w:rPr>
                <w:rFonts w:asciiTheme="minorHAnsi" w:hAnsiTheme="minorHAnsi" w:cstheme="minorHAnsi"/>
                <w:bCs/>
              </w:rPr>
              <w:t>trust;</w:t>
            </w:r>
            <w:proofErr w:type="gramEnd"/>
          </w:p>
          <w:p w14:paraId="6BA8E73C"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 xml:space="preserve">To comply with all ACET policies and </w:t>
            </w:r>
            <w:proofErr w:type="gramStart"/>
            <w:r w:rsidRPr="00154D9A">
              <w:rPr>
                <w:rFonts w:asciiTheme="minorHAnsi" w:hAnsiTheme="minorHAnsi" w:cstheme="minorHAnsi"/>
                <w:bCs/>
              </w:rPr>
              <w:t>procedures;</w:t>
            </w:r>
            <w:proofErr w:type="gramEnd"/>
          </w:p>
          <w:p w14:paraId="49BBE2EE"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 xml:space="preserve">To comply with all statutory guidance as relevant for their role, including the Health and Safety at Work Act </w:t>
            </w:r>
            <w:proofErr w:type="gramStart"/>
            <w:r w:rsidRPr="00154D9A">
              <w:rPr>
                <w:rFonts w:asciiTheme="minorHAnsi" w:hAnsiTheme="minorHAnsi" w:cstheme="minorHAnsi"/>
                <w:bCs/>
              </w:rPr>
              <w:t>1974;</w:t>
            </w:r>
            <w:proofErr w:type="gramEnd"/>
          </w:p>
          <w:p w14:paraId="47FDA14C"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6821BC78" w14:textId="77777777" w:rsidR="00790A29" w:rsidRPr="00154D9A" w:rsidRDefault="00790A29" w:rsidP="00790A29">
            <w:pPr>
              <w:pStyle w:val="ListParagraph"/>
              <w:numPr>
                <w:ilvl w:val="0"/>
                <w:numId w:val="7"/>
              </w:numPr>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2675A6F2" w14:textId="34C786E6"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lastRenderedPageBreak/>
              <w:t>The purpose of this job profile is</w:t>
            </w:r>
            <w:r w:rsidR="00E0145E">
              <w:rPr>
                <w:rFonts w:asciiTheme="minorHAnsi" w:hAnsiTheme="minorHAnsi" w:cstheme="minorHAnsi"/>
                <w:bCs/>
                <w:i/>
              </w:rPr>
              <w:t xml:space="preserve"> to</w:t>
            </w:r>
            <w:r w:rsidRPr="00154D9A">
              <w:rPr>
                <w:rFonts w:asciiTheme="minorHAnsi" w:hAnsiTheme="minorHAnsi" w:cstheme="minorHAnsi"/>
                <w:bCs/>
                <w:i/>
              </w:rPr>
              <w:t xml:space="preserve"> provide an overview of the duties and responsibilities involved in this </w:t>
            </w:r>
            <w:proofErr w:type="gramStart"/>
            <w:r w:rsidRPr="00154D9A">
              <w:rPr>
                <w:rFonts w:asciiTheme="minorHAnsi" w:hAnsiTheme="minorHAnsi" w:cstheme="minorHAnsi"/>
                <w:bCs/>
                <w:i/>
              </w:rPr>
              <w:t>role,</w:t>
            </w:r>
            <w:proofErr w:type="gramEnd"/>
            <w:r w:rsidRPr="00154D9A">
              <w:rPr>
                <w:rFonts w:asciiTheme="minorHAnsi" w:hAnsiTheme="minorHAnsi" w:cstheme="minorHAnsi"/>
                <w:bCs/>
                <w:i/>
              </w:rPr>
              <w:t xml:space="preserve"> however it is not intended to be exhaustive. In consultation with the post holder, this profile may be reviewed and could be subject to change during the course of employment.</w:t>
            </w:r>
          </w:p>
        </w:tc>
      </w:tr>
    </w:tbl>
    <w:p w14:paraId="2D20628F" w14:textId="4644FCAC" w:rsidR="00775AE4" w:rsidRPr="007E0113" w:rsidRDefault="00775AE4" w:rsidP="005F468D">
      <w:pPr>
        <w:tabs>
          <w:tab w:val="left" w:pos="1290"/>
        </w:tabs>
        <w:rPr>
          <w:rFonts w:asciiTheme="minorHAnsi" w:hAnsiTheme="minorHAnsi" w:cstheme="minorHAnsi"/>
        </w:rPr>
      </w:pPr>
    </w:p>
    <w:p w14:paraId="3F7458B4" w14:textId="6D7BD68B" w:rsidR="007E0113" w:rsidRPr="007E0113" w:rsidRDefault="007E0113" w:rsidP="007E0113">
      <w:pPr>
        <w:rPr>
          <w:rFonts w:asciiTheme="minorHAnsi" w:hAnsiTheme="minorHAnsi" w:cstheme="minorHAnsi"/>
        </w:rPr>
      </w:pPr>
    </w:p>
    <w:p w14:paraId="42E27494" w14:textId="2E040F80" w:rsidR="007E0113" w:rsidRPr="007E0113" w:rsidRDefault="007E0113" w:rsidP="007E0113">
      <w:pPr>
        <w:jc w:val="center"/>
        <w:rPr>
          <w:rFonts w:asciiTheme="minorHAnsi" w:hAnsiTheme="minorHAnsi" w:cstheme="minorHAnsi"/>
        </w:rPr>
      </w:pPr>
      <w:r w:rsidRPr="007E0113">
        <w:rPr>
          <w:rFonts w:asciiTheme="minorHAnsi" w:hAnsiTheme="minorHAnsi" w:cstheme="minorHAnsi"/>
        </w:rPr>
        <w:t>ACET is committed to safeguarding and promoting the welfare of children and young people and expects all staff and volunteers to share this commitment.</w:t>
      </w:r>
    </w:p>
    <w:sectPr w:rsidR="007E0113" w:rsidRPr="007E0113" w:rsidSect="007E0113">
      <w:headerReference w:type="default" r:id="rId10"/>
      <w:headerReference w:type="first" r:id="rId11"/>
      <w:pgSz w:w="11906" w:h="16838"/>
      <w:pgMar w:top="1389"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6A41" w14:textId="77777777" w:rsidR="00A40ABB" w:rsidRDefault="00A40ABB" w:rsidP="008347B2">
      <w:r>
        <w:separator/>
      </w:r>
    </w:p>
  </w:endnote>
  <w:endnote w:type="continuationSeparator" w:id="0">
    <w:p w14:paraId="543147FC" w14:textId="77777777" w:rsidR="00A40ABB" w:rsidRDefault="00A40ABB"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0DF4" w14:textId="77777777" w:rsidR="00A40ABB" w:rsidRDefault="00A40ABB" w:rsidP="008347B2">
      <w:r>
        <w:separator/>
      </w:r>
    </w:p>
  </w:footnote>
  <w:footnote w:type="continuationSeparator" w:id="0">
    <w:p w14:paraId="137D9E36" w14:textId="77777777" w:rsidR="00A40ABB" w:rsidRDefault="00A40ABB"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9391" w14:textId="77777777" w:rsidR="005E124D" w:rsidRPr="0018753E" w:rsidRDefault="005E124D" w:rsidP="005E124D">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63360" behindDoc="0" locked="0" layoutInCell="1" allowOverlap="1" wp14:anchorId="5D77F3F2" wp14:editId="5DD68126">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56D38D71" w14:textId="77777777" w:rsidR="005E124D" w:rsidRDefault="005E124D">
    <w:pPr>
      <w:pStyle w:val="Header"/>
    </w:pPr>
  </w:p>
  <w:p w14:paraId="51E39386" w14:textId="77777777" w:rsidR="005E124D" w:rsidRDefault="005E1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F08D"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4BB50749" wp14:editId="7AE54911">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4931114E" wp14:editId="7A71A830">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44CD"/>
    <w:multiLevelType w:val="hybridMultilevel"/>
    <w:tmpl w:val="49FA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149262D"/>
    <w:multiLevelType w:val="multilevel"/>
    <w:tmpl w:val="268EA00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 w15:restartNumberingAfterBreak="0">
    <w:nsid w:val="258178C8"/>
    <w:multiLevelType w:val="multilevel"/>
    <w:tmpl w:val="19BEE7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26155"/>
    <w:multiLevelType w:val="hybridMultilevel"/>
    <w:tmpl w:val="B7B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C05F2"/>
    <w:multiLevelType w:val="hybridMultilevel"/>
    <w:tmpl w:val="A8CC4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036B7"/>
    <w:multiLevelType w:val="hybridMultilevel"/>
    <w:tmpl w:val="74DCA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E12720"/>
    <w:multiLevelType w:val="hybridMultilevel"/>
    <w:tmpl w:val="61B24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D4643"/>
    <w:multiLevelType w:val="hybridMultilevel"/>
    <w:tmpl w:val="54E6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63CA9"/>
    <w:multiLevelType w:val="hybridMultilevel"/>
    <w:tmpl w:val="ACE08E78"/>
    <w:lvl w:ilvl="0" w:tplc="08090017">
      <w:start w:val="1"/>
      <w:numFmt w:val="lowerLetter"/>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13"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D3C69"/>
    <w:multiLevelType w:val="hybridMultilevel"/>
    <w:tmpl w:val="9BE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E51FF"/>
    <w:multiLevelType w:val="hybridMultilevel"/>
    <w:tmpl w:val="F9C0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97665C"/>
    <w:multiLevelType w:val="hybridMultilevel"/>
    <w:tmpl w:val="46C0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A1987"/>
    <w:multiLevelType w:val="hybridMultilevel"/>
    <w:tmpl w:val="1946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545AD"/>
    <w:multiLevelType w:val="hybridMultilevel"/>
    <w:tmpl w:val="6C1C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32088"/>
    <w:multiLevelType w:val="hybridMultilevel"/>
    <w:tmpl w:val="84BE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A62570"/>
    <w:multiLevelType w:val="hybridMultilevel"/>
    <w:tmpl w:val="C4581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403E3"/>
    <w:multiLevelType w:val="hybridMultilevel"/>
    <w:tmpl w:val="AF6E97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6AEF315E"/>
    <w:multiLevelType w:val="hybridMultilevel"/>
    <w:tmpl w:val="5EB6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12491"/>
    <w:multiLevelType w:val="hybridMultilevel"/>
    <w:tmpl w:val="39C2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42110"/>
    <w:multiLevelType w:val="hybridMultilevel"/>
    <w:tmpl w:val="56D6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551CD"/>
    <w:multiLevelType w:val="hybridMultilevel"/>
    <w:tmpl w:val="D0CC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675C41"/>
    <w:multiLevelType w:val="hybridMultilevel"/>
    <w:tmpl w:val="C590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34A6E"/>
    <w:multiLevelType w:val="hybridMultilevel"/>
    <w:tmpl w:val="47C600D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15:restartNumberingAfterBreak="0">
    <w:nsid w:val="7C134577"/>
    <w:multiLevelType w:val="hybridMultilevel"/>
    <w:tmpl w:val="4A621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2779D"/>
    <w:multiLevelType w:val="singleLevel"/>
    <w:tmpl w:val="0409000F"/>
    <w:lvl w:ilvl="0">
      <w:start w:val="1"/>
      <w:numFmt w:val="decimal"/>
      <w:lvlText w:val="%1."/>
      <w:lvlJc w:val="left"/>
      <w:pPr>
        <w:tabs>
          <w:tab w:val="num" w:pos="360"/>
        </w:tabs>
        <w:ind w:left="360" w:hanging="360"/>
      </w:pPr>
    </w:lvl>
  </w:abstractNum>
  <w:num w:numId="1" w16cid:durableId="1201436878">
    <w:abstractNumId w:val="2"/>
  </w:num>
  <w:num w:numId="2" w16cid:durableId="1946961606">
    <w:abstractNumId w:val="16"/>
  </w:num>
  <w:num w:numId="3" w16cid:durableId="880094364">
    <w:abstractNumId w:val="31"/>
  </w:num>
  <w:num w:numId="4" w16cid:durableId="1092630138">
    <w:abstractNumId w:val="14"/>
  </w:num>
  <w:num w:numId="5" w16cid:durableId="1717706103">
    <w:abstractNumId w:val="10"/>
  </w:num>
  <w:num w:numId="6" w16cid:durableId="2141877754">
    <w:abstractNumId w:val="13"/>
  </w:num>
  <w:num w:numId="7" w16cid:durableId="1076245261">
    <w:abstractNumId w:val="1"/>
  </w:num>
  <w:num w:numId="8" w16cid:durableId="1991596148">
    <w:abstractNumId w:val="5"/>
  </w:num>
  <w:num w:numId="9" w16cid:durableId="717583726">
    <w:abstractNumId w:val="8"/>
  </w:num>
  <w:num w:numId="10" w16cid:durableId="990257092">
    <w:abstractNumId w:val="29"/>
  </w:num>
  <w:num w:numId="11" w16cid:durableId="1231774569">
    <w:abstractNumId w:val="11"/>
  </w:num>
  <w:num w:numId="12" w16cid:durableId="1104691737">
    <w:abstractNumId w:val="25"/>
  </w:num>
  <w:num w:numId="13" w16cid:durableId="1603222892">
    <w:abstractNumId w:val="6"/>
  </w:num>
  <w:num w:numId="14" w16cid:durableId="830101416">
    <w:abstractNumId w:val="32"/>
  </w:num>
  <w:num w:numId="15" w16cid:durableId="185753930">
    <w:abstractNumId w:val="3"/>
  </w:num>
  <w:num w:numId="16" w16cid:durableId="40327322">
    <w:abstractNumId w:val="26"/>
  </w:num>
  <w:num w:numId="17" w16cid:durableId="1947349338">
    <w:abstractNumId w:val="11"/>
  </w:num>
  <w:num w:numId="18" w16cid:durableId="1546138219">
    <w:abstractNumId w:val="15"/>
  </w:num>
  <w:num w:numId="19" w16cid:durableId="1379669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8139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010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333467">
    <w:abstractNumId w:val="21"/>
  </w:num>
  <w:num w:numId="23" w16cid:durableId="879635124">
    <w:abstractNumId w:val="17"/>
  </w:num>
  <w:num w:numId="24" w16cid:durableId="88545337">
    <w:abstractNumId w:val="7"/>
  </w:num>
  <w:num w:numId="25" w16cid:durableId="1307854863">
    <w:abstractNumId w:val="0"/>
  </w:num>
  <w:num w:numId="26" w16cid:durableId="138034041">
    <w:abstractNumId w:val="27"/>
  </w:num>
  <w:num w:numId="27" w16cid:durableId="350373208">
    <w:abstractNumId w:val="4"/>
  </w:num>
  <w:num w:numId="28" w16cid:durableId="1837184011">
    <w:abstractNumId w:val="24"/>
  </w:num>
  <w:num w:numId="29" w16cid:durableId="955141019">
    <w:abstractNumId w:val="22"/>
  </w:num>
  <w:num w:numId="30" w16cid:durableId="885800787">
    <w:abstractNumId w:val="30"/>
  </w:num>
  <w:num w:numId="31" w16cid:durableId="1159539586">
    <w:abstractNumId w:val="20"/>
  </w:num>
  <w:num w:numId="32" w16cid:durableId="998078552">
    <w:abstractNumId w:val="19"/>
  </w:num>
  <w:num w:numId="33" w16cid:durableId="1158184832">
    <w:abstractNumId w:val="28"/>
  </w:num>
  <w:num w:numId="34" w16cid:durableId="1862162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0D78E7"/>
    <w:rsid w:val="00127842"/>
    <w:rsid w:val="0013262B"/>
    <w:rsid w:val="0013460F"/>
    <w:rsid w:val="0015055C"/>
    <w:rsid w:val="00154D9A"/>
    <w:rsid w:val="0016583E"/>
    <w:rsid w:val="00172170"/>
    <w:rsid w:val="001A4E24"/>
    <w:rsid w:val="001B2CDE"/>
    <w:rsid w:val="001C036A"/>
    <w:rsid w:val="001D63AA"/>
    <w:rsid w:val="001E3479"/>
    <w:rsid w:val="001E390E"/>
    <w:rsid w:val="001F1966"/>
    <w:rsid w:val="0020142D"/>
    <w:rsid w:val="0020696D"/>
    <w:rsid w:val="00244691"/>
    <w:rsid w:val="002467A8"/>
    <w:rsid w:val="0025351D"/>
    <w:rsid w:val="00255FA5"/>
    <w:rsid w:val="00264FBE"/>
    <w:rsid w:val="002654B2"/>
    <w:rsid w:val="00280E80"/>
    <w:rsid w:val="002862EB"/>
    <w:rsid w:val="00291209"/>
    <w:rsid w:val="002B4058"/>
    <w:rsid w:val="002B6872"/>
    <w:rsid w:val="002B7730"/>
    <w:rsid w:val="002C31B1"/>
    <w:rsid w:val="002E5DE2"/>
    <w:rsid w:val="003116D0"/>
    <w:rsid w:val="0031655A"/>
    <w:rsid w:val="003463A0"/>
    <w:rsid w:val="00381F1C"/>
    <w:rsid w:val="0038294D"/>
    <w:rsid w:val="00387CAB"/>
    <w:rsid w:val="003A16BA"/>
    <w:rsid w:val="003B1F78"/>
    <w:rsid w:val="003F0944"/>
    <w:rsid w:val="003F5666"/>
    <w:rsid w:val="00404A90"/>
    <w:rsid w:val="00405CDD"/>
    <w:rsid w:val="00426A26"/>
    <w:rsid w:val="00447684"/>
    <w:rsid w:val="00462192"/>
    <w:rsid w:val="00472F5C"/>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124D"/>
    <w:rsid w:val="005E254A"/>
    <w:rsid w:val="005E26CB"/>
    <w:rsid w:val="005F468D"/>
    <w:rsid w:val="005F4762"/>
    <w:rsid w:val="005F519C"/>
    <w:rsid w:val="0060385F"/>
    <w:rsid w:val="00635454"/>
    <w:rsid w:val="00646EB0"/>
    <w:rsid w:val="00673D34"/>
    <w:rsid w:val="00680CD3"/>
    <w:rsid w:val="006933AE"/>
    <w:rsid w:val="00696BD9"/>
    <w:rsid w:val="006B3039"/>
    <w:rsid w:val="006F498B"/>
    <w:rsid w:val="00750EA6"/>
    <w:rsid w:val="00752673"/>
    <w:rsid w:val="00763259"/>
    <w:rsid w:val="00775398"/>
    <w:rsid w:val="00775AE4"/>
    <w:rsid w:val="00776FC6"/>
    <w:rsid w:val="007843A2"/>
    <w:rsid w:val="007903A4"/>
    <w:rsid w:val="00790A29"/>
    <w:rsid w:val="007953E2"/>
    <w:rsid w:val="007976CA"/>
    <w:rsid w:val="007E0113"/>
    <w:rsid w:val="007E625B"/>
    <w:rsid w:val="0083183B"/>
    <w:rsid w:val="008347B2"/>
    <w:rsid w:val="00857C02"/>
    <w:rsid w:val="0088747D"/>
    <w:rsid w:val="00890587"/>
    <w:rsid w:val="008949E5"/>
    <w:rsid w:val="008A65EE"/>
    <w:rsid w:val="008B685F"/>
    <w:rsid w:val="008C3528"/>
    <w:rsid w:val="008F19EE"/>
    <w:rsid w:val="00920402"/>
    <w:rsid w:val="00936F1E"/>
    <w:rsid w:val="00944A85"/>
    <w:rsid w:val="0099093C"/>
    <w:rsid w:val="009917D1"/>
    <w:rsid w:val="00992CD8"/>
    <w:rsid w:val="009978F7"/>
    <w:rsid w:val="009A39EB"/>
    <w:rsid w:val="009A7A04"/>
    <w:rsid w:val="009C09C6"/>
    <w:rsid w:val="009C126E"/>
    <w:rsid w:val="009D5FEA"/>
    <w:rsid w:val="00A0002C"/>
    <w:rsid w:val="00A35CA3"/>
    <w:rsid w:val="00A40ABB"/>
    <w:rsid w:val="00A51F1D"/>
    <w:rsid w:val="00A5206B"/>
    <w:rsid w:val="00A5689B"/>
    <w:rsid w:val="00A75875"/>
    <w:rsid w:val="00A92C7D"/>
    <w:rsid w:val="00A97B10"/>
    <w:rsid w:val="00AB65D2"/>
    <w:rsid w:val="00AC3893"/>
    <w:rsid w:val="00B05753"/>
    <w:rsid w:val="00B3134B"/>
    <w:rsid w:val="00B512C4"/>
    <w:rsid w:val="00B6514B"/>
    <w:rsid w:val="00B93432"/>
    <w:rsid w:val="00BC4DAD"/>
    <w:rsid w:val="00BC502F"/>
    <w:rsid w:val="00BD6072"/>
    <w:rsid w:val="00BD64D7"/>
    <w:rsid w:val="00C05DB5"/>
    <w:rsid w:val="00C22E99"/>
    <w:rsid w:val="00C238A5"/>
    <w:rsid w:val="00C26674"/>
    <w:rsid w:val="00C63B0F"/>
    <w:rsid w:val="00C90394"/>
    <w:rsid w:val="00CA123F"/>
    <w:rsid w:val="00CC28C0"/>
    <w:rsid w:val="00D1132F"/>
    <w:rsid w:val="00D15A4C"/>
    <w:rsid w:val="00D22290"/>
    <w:rsid w:val="00D24B0E"/>
    <w:rsid w:val="00D43308"/>
    <w:rsid w:val="00D5480B"/>
    <w:rsid w:val="00D6140B"/>
    <w:rsid w:val="00DB1C90"/>
    <w:rsid w:val="00DB72DA"/>
    <w:rsid w:val="00DB7CD0"/>
    <w:rsid w:val="00DD32F1"/>
    <w:rsid w:val="00DD7E27"/>
    <w:rsid w:val="00E0145E"/>
    <w:rsid w:val="00E46DF7"/>
    <w:rsid w:val="00E951C2"/>
    <w:rsid w:val="00EB0708"/>
    <w:rsid w:val="00EB0EE6"/>
    <w:rsid w:val="00EB7251"/>
    <w:rsid w:val="00EE7359"/>
    <w:rsid w:val="00F05228"/>
    <w:rsid w:val="00F05F8A"/>
    <w:rsid w:val="00F075E3"/>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DE3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557">
      <w:bodyDiv w:val="1"/>
      <w:marLeft w:val="0"/>
      <w:marRight w:val="0"/>
      <w:marTop w:val="0"/>
      <w:marBottom w:val="0"/>
      <w:divBdr>
        <w:top w:val="none" w:sz="0" w:space="0" w:color="auto"/>
        <w:left w:val="none" w:sz="0" w:space="0" w:color="auto"/>
        <w:bottom w:val="none" w:sz="0" w:space="0" w:color="auto"/>
        <w:right w:val="none" w:sz="0" w:space="0" w:color="auto"/>
      </w:divBdr>
    </w:div>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BBB4C-DD42-4AB8-B6EA-F24B7C277C32}">
  <ds:schemaRefs>
    <ds:schemaRef ds:uri="http://schemas.microsoft.com/sharepoint/v3/contenttype/forms"/>
  </ds:schemaRefs>
</ds:datastoreItem>
</file>

<file path=customXml/itemProps2.xml><?xml version="1.0" encoding="utf-8"?>
<ds:datastoreItem xmlns:ds="http://schemas.openxmlformats.org/officeDocument/2006/customXml" ds:itemID="{054460B4-E320-450D-924D-51B6476DB232}">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3.xml><?xml version="1.0" encoding="utf-8"?>
<ds:datastoreItem xmlns:ds="http://schemas.openxmlformats.org/officeDocument/2006/customXml" ds:itemID="{8D2CCE26-B716-4577-AAD5-4ECC8E8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10</cp:revision>
  <cp:lastPrinted>2023-03-30T14:31:00Z</cp:lastPrinted>
  <dcterms:created xsi:type="dcterms:W3CDTF">2023-03-30T14:30:00Z</dcterms:created>
  <dcterms:modified xsi:type="dcterms:W3CDTF">2024-11-18T18:44:00Z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