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59" w:rsidRPr="00525759" w:rsidRDefault="00525759">
      <w:pPr>
        <w:rPr>
          <w:rFonts w:asciiTheme="minorHAnsi" w:hAnsiTheme="minorHAnsi" w:cstheme="minorHAnsi"/>
          <w:szCs w:val="24"/>
        </w:rPr>
      </w:pPr>
    </w:p>
    <w:p w:rsidR="00525759" w:rsidRPr="00D128B9" w:rsidRDefault="00525759" w:rsidP="00525759">
      <w:pPr>
        <w:rPr>
          <w:rFonts w:asciiTheme="minorHAnsi" w:hAnsiTheme="minorHAnsi" w:cstheme="minorHAnsi"/>
          <w:szCs w:val="24"/>
        </w:rPr>
      </w:pPr>
    </w:p>
    <w:p w:rsidR="00525759" w:rsidRPr="00D128B9" w:rsidRDefault="00525759" w:rsidP="00525759">
      <w:pPr>
        <w:pStyle w:val="Header"/>
        <w:jc w:val="center"/>
        <w:rPr>
          <w:rFonts w:asciiTheme="minorHAnsi" w:hAnsiTheme="minorHAnsi" w:cstheme="minorHAnsi"/>
          <w:b/>
          <w:sz w:val="28"/>
          <w:szCs w:val="28"/>
        </w:rPr>
      </w:pPr>
      <w:r w:rsidRPr="00D128B9">
        <w:rPr>
          <w:rFonts w:asciiTheme="minorHAnsi" w:hAnsiTheme="minorHAnsi" w:cstheme="minorHAnsi"/>
          <w:b/>
          <w:sz w:val="28"/>
          <w:szCs w:val="28"/>
        </w:rPr>
        <w:t xml:space="preserve">BROOMFIELD SOUTH SILC </w:t>
      </w:r>
    </w:p>
    <w:p w:rsidR="00525759" w:rsidRPr="00D128B9" w:rsidRDefault="00003E81" w:rsidP="00525759">
      <w:pPr>
        <w:pStyle w:val="Header"/>
        <w:jc w:val="center"/>
        <w:rPr>
          <w:rFonts w:asciiTheme="minorHAnsi" w:hAnsiTheme="minorHAnsi" w:cstheme="minorHAnsi"/>
          <w:b/>
          <w:sz w:val="28"/>
          <w:szCs w:val="28"/>
        </w:rPr>
      </w:pPr>
      <w:r w:rsidRPr="00003E81">
        <w:rPr>
          <w:rFonts w:asciiTheme="minorHAnsi" w:hAnsiTheme="minorHAnsi" w:cstheme="minorHAnsi"/>
          <w:b/>
          <w:sz w:val="28"/>
          <w:szCs w:val="28"/>
        </w:rPr>
        <w:t xml:space="preserve">Family Support Worker  </w:t>
      </w:r>
      <w:bookmarkStart w:id="0" w:name="_GoBack"/>
      <w:bookmarkEnd w:id="0"/>
    </w:p>
    <w:p w:rsidR="00525759" w:rsidRPr="00D128B9" w:rsidRDefault="00525759" w:rsidP="00525759">
      <w:pPr>
        <w:rPr>
          <w:rFonts w:asciiTheme="minorHAnsi" w:hAnsiTheme="minorHAnsi" w:cstheme="minorHAnsi"/>
          <w:sz w:val="28"/>
          <w:szCs w:val="28"/>
        </w:rPr>
      </w:pPr>
    </w:p>
    <w:tbl>
      <w:tblPr>
        <w:tblStyle w:val="TableGrid"/>
        <w:tblW w:w="9766" w:type="dxa"/>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506"/>
        <w:gridCol w:w="1559"/>
        <w:gridCol w:w="1701"/>
      </w:tblGrid>
      <w:tr w:rsidR="00525759" w:rsidRPr="00D128B9" w:rsidTr="00733B7D">
        <w:tc>
          <w:tcPr>
            <w:tcW w:w="9766" w:type="dxa"/>
            <w:gridSpan w:val="3"/>
            <w:shd w:val="clear" w:color="auto" w:fill="93D07C" w:themeFill="accent1" w:themeFillTint="99"/>
          </w:tcPr>
          <w:p w:rsidR="00525759" w:rsidRPr="00D128B9" w:rsidRDefault="00525759" w:rsidP="00C6199D">
            <w:pPr>
              <w:jc w:val="center"/>
              <w:rPr>
                <w:rFonts w:asciiTheme="minorHAnsi" w:hAnsiTheme="minorHAnsi" w:cstheme="minorHAnsi"/>
                <w:b/>
                <w:sz w:val="28"/>
                <w:szCs w:val="28"/>
              </w:rPr>
            </w:pPr>
            <w:r w:rsidRPr="00D128B9">
              <w:rPr>
                <w:rFonts w:asciiTheme="minorHAnsi" w:hAnsiTheme="minorHAnsi" w:cstheme="minorHAnsi"/>
                <w:b/>
                <w:sz w:val="28"/>
                <w:szCs w:val="28"/>
              </w:rPr>
              <w:t xml:space="preserve">Person Specification </w:t>
            </w:r>
          </w:p>
        </w:tc>
      </w:tr>
      <w:tr w:rsidR="00525759" w:rsidRPr="00D128B9" w:rsidTr="00733B7D">
        <w:tc>
          <w:tcPr>
            <w:tcW w:w="6506" w:type="dxa"/>
          </w:tcPr>
          <w:p w:rsidR="00525759" w:rsidRPr="00D128B9" w:rsidRDefault="00525759" w:rsidP="00525759">
            <w:pPr>
              <w:rPr>
                <w:rFonts w:asciiTheme="minorHAnsi" w:hAnsiTheme="minorHAnsi" w:cstheme="minorHAnsi"/>
                <w:sz w:val="28"/>
                <w:szCs w:val="28"/>
              </w:rPr>
            </w:pPr>
          </w:p>
        </w:tc>
        <w:tc>
          <w:tcPr>
            <w:tcW w:w="1559"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Essential</w:t>
            </w:r>
          </w:p>
        </w:tc>
        <w:tc>
          <w:tcPr>
            <w:tcW w:w="1701"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Desirable</w:t>
            </w:r>
          </w:p>
        </w:tc>
      </w:tr>
      <w:tr w:rsidR="004A7C9A" w:rsidRPr="00003E81" w:rsidTr="00733B7D">
        <w:tc>
          <w:tcPr>
            <w:tcW w:w="9766" w:type="dxa"/>
            <w:gridSpan w:val="3"/>
            <w:shd w:val="clear" w:color="auto" w:fill="DAEFD3" w:themeFill="accent1" w:themeFillTint="33"/>
          </w:tcPr>
          <w:p w:rsidR="004A7C9A" w:rsidRPr="00003E81" w:rsidRDefault="004A7C9A" w:rsidP="004A7C9A">
            <w:pPr>
              <w:jc w:val="center"/>
              <w:rPr>
                <w:rFonts w:ascii="Calibri" w:hAnsi="Calibri" w:cs="Calibri"/>
                <w:sz w:val="28"/>
                <w:szCs w:val="28"/>
              </w:rPr>
            </w:pPr>
            <w:r w:rsidRPr="00003E81">
              <w:rPr>
                <w:rFonts w:ascii="Calibri" w:hAnsi="Calibri" w:cs="Calibri"/>
                <w:b/>
                <w:sz w:val="28"/>
                <w:szCs w:val="28"/>
              </w:rPr>
              <w:t>Skills</w:t>
            </w: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Sustain the engagement and participation of children, young people and their parents/carers in services and activity.</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Work assertively with families, supporting then to develop the skills and experience necessary to bring about the change desired.</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Deal with difficult situations and / or individuals in a calm, fair but effective manner.</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Deal with sensitive issues in a confidential manner</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Respond to the range of factors that create stress for children and families.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Influence others, managing discussions effectively to ensure desired actions are achieved.</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Support learning by giving constructive feedback and coaching</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Communicate effectively through a variety of means with a diverse audience (e.g. children, parents/carers, head teachers, social workers etc</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tcPr>
          <w:p w:rsidR="00003E81" w:rsidRPr="00003E81" w:rsidRDefault="00003E81" w:rsidP="00003E81">
            <w:pPr>
              <w:rPr>
                <w:rFonts w:ascii="Calibri" w:hAnsi="Calibri" w:cs="Calibri"/>
              </w:rPr>
            </w:pPr>
            <w:r w:rsidRPr="00003E81">
              <w:rPr>
                <w:rFonts w:ascii="Calibri" w:hAnsi="Calibri" w:cs="Calibri"/>
                <w:sz w:val="22"/>
                <w:szCs w:val="22"/>
              </w:rPr>
              <w:t>Compile focused, good quality, evidence based written assessments, plans, records and reports.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bookmarkStart w:id="1" w:name="_Hlk140136661"/>
            <w:r w:rsidRPr="00003E81">
              <w:rPr>
                <w:rFonts w:ascii="Calibri" w:hAnsi="Calibri" w:cs="Calibri"/>
                <w:sz w:val="22"/>
                <w:szCs w:val="22"/>
              </w:rPr>
              <w:t>Prioritise workloads and work to deadlines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bookmarkEnd w:id="1"/>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Work as part of a team whilst taking initiative and working independently.</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Work flexibly and manage own time to best effect</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Demonstrate awareness of and commitment to upholding equal opportunities policies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Analysing information and data to make decisions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4A7C9A" w:rsidRPr="00003E81" w:rsidTr="00733B7D">
        <w:tc>
          <w:tcPr>
            <w:tcW w:w="9766" w:type="dxa"/>
            <w:gridSpan w:val="3"/>
            <w:shd w:val="clear" w:color="auto" w:fill="DAEFD3" w:themeFill="accent1" w:themeFillTint="33"/>
          </w:tcPr>
          <w:p w:rsidR="004A7C9A" w:rsidRPr="00003E81" w:rsidRDefault="00003E81" w:rsidP="004A7C9A">
            <w:pPr>
              <w:jc w:val="center"/>
              <w:rPr>
                <w:rFonts w:ascii="Calibri" w:hAnsi="Calibri" w:cs="Calibri"/>
                <w:sz w:val="28"/>
                <w:szCs w:val="28"/>
              </w:rPr>
            </w:pPr>
            <w:r w:rsidRPr="00003E81">
              <w:rPr>
                <w:rFonts w:ascii="Calibri" w:hAnsi="Calibri" w:cs="Calibri"/>
                <w:b/>
                <w:sz w:val="28"/>
                <w:szCs w:val="28"/>
              </w:rPr>
              <w:t>Experience</w:t>
            </w: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Experience of working effectively with children, young people and families in challenging circumstances.</w:t>
            </w:r>
            <w:r w:rsidRPr="00003E81">
              <w:rPr>
                <w:rFonts w:ascii="Calibri" w:hAnsi="Calibri" w:cs="Calibri"/>
              </w:rPr>
              <w:t xml:space="preserve"> </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Professional experience of working within the Early Help process.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In working in partnerships with other agencies to deliver effective interventions for children, young people and families.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Providing effective solutions to problems.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Proven experience of sustaining the engagement of families who have a history of non-engagement and/or a reluctance to work with services.</w:t>
            </w:r>
          </w:p>
        </w:tc>
        <w:tc>
          <w:tcPr>
            <w:tcW w:w="1559" w:type="dxa"/>
          </w:tcPr>
          <w:p w:rsidR="00003E81" w:rsidRPr="00003E81" w:rsidRDefault="00003E81" w:rsidP="00003E81">
            <w:pPr>
              <w:jc w:val="center"/>
              <w:rPr>
                <w:rFonts w:ascii="Calibri" w:hAnsi="Calibri" w:cs="Calibri"/>
                <w:szCs w:val="24"/>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003E81">
        <w:tc>
          <w:tcPr>
            <w:tcW w:w="9766" w:type="dxa"/>
            <w:gridSpan w:val="3"/>
            <w:shd w:val="clear" w:color="auto" w:fill="DAEFD3" w:themeFill="accent1" w:themeFillTint="33"/>
          </w:tcPr>
          <w:p w:rsidR="00003E81" w:rsidRPr="00003E81" w:rsidRDefault="00003E81" w:rsidP="00003E81">
            <w:pPr>
              <w:jc w:val="center"/>
              <w:rPr>
                <w:rFonts w:ascii="Calibri" w:hAnsi="Calibri" w:cs="Calibri"/>
                <w:b/>
                <w:sz w:val="28"/>
                <w:szCs w:val="28"/>
              </w:rPr>
            </w:pPr>
            <w:r w:rsidRPr="00003E81">
              <w:rPr>
                <w:rFonts w:ascii="Calibri" w:hAnsi="Calibri" w:cs="Calibri"/>
                <w:b/>
                <w:sz w:val="28"/>
                <w:szCs w:val="28"/>
              </w:rPr>
              <w:t>Knowledge and Understanding</w:t>
            </w: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 xml:space="preserve">Current legislation, policy and guidance relating to work of children’s services and </w:t>
            </w:r>
            <w:r w:rsidRPr="00003E81">
              <w:rPr>
                <w:rFonts w:ascii="Calibri" w:hAnsi="Calibri" w:cs="Calibri"/>
                <w:sz w:val="22"/>
                <w:szCs w:val="22"/>
              </w:rPr>
              <w:t>the Children</w:t>
            </w:r>
            <w:r w:rsidRPr="00003E81">
              <w:rPr>
                <w:rFonts w:ascii="Calibri" w:hAnsi="Calibri" w:cs="Calibri"/>
                <w:sz w:val="22"/>
                <w:szCs w:val="22"/>
              </w:rPr>
              <w:t xml:space="preserve"> and Families Act 2014 </w:t>
            </w:r>
            <w:r w:rsidRPr="00003E81">
              <w:rPr>
                <w:rFonts w:ascii="Calibri" w:hAnsi="Calibri" w:cs="Calibri"/>
                <w:color w:val="FF0000"/>
                <w:sz w:val="22"/>
                <w:szCs w:val="22"/>
              </w:rPr>
              <w:t xml:space="preserve"> </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Best practice in safeguarding children and Local Safeguarding Children Board Procedures.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lastRenderedPageBreak/>
              <w:t>Information sharing protocol</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Well informed knowledge about the development needs of children and young people.</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Understanding of challenges faced by families with multiple and complex needs.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Local, regional and national statutory and voluntary agencies that can support families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sz w:val="22"/>
                <w:szCs w:val="22"/>
              </w:rPr>
              <w:t>Evidence-based practice to meet the needs of vulnerable families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pStyle w:val="PlainText"/>
              <w:rPr>
                <w:rFonts w:ascii="Calibri" w:hAnsi="Calibri" w:cs="Calibri"/>
              </w:rPr>
            </w:pPr>
            <w:r w:rsidRPr="00003E81">
              <w:rPr>
                <w:rFonts w:ascii="Calibri" w:hAnsi="Calibri" w:cs="Calibri"/>
              </w:rPr>
              <w:t>IT programmes including Word, Excel, email systems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003E81">
        <w:tc>
          <w:tcPr>
            <w:tcW w:w="9766" w:type="dxa"/>
            <w:gridSpan w:val="3"/>
            <w:shd w:val="clear" w:color="auto" w:fill="DAEFD3" w:themeFill="accent1" w:themeFillTint="33"/>
          </w:tcPr>
          <w:p w:rsidR="00003E81" w:rsidRPr="00003E81" w:rsidRDefault="00003E81" w:rsidP="00003E81">
            <w:pPr>
              <w:jc w:val="center"/>
              <w:rPr>
                <w:rFonts w:ascii="Calibri" w:hAnsi="Calibri" w:cs="Calibri"/>
                <w:b/>
                <w:sz w:val="28"/>
                <w:szCs w:val="28"/>
              </w:rPr>
            </w:pPr>
            <w:r w:rsidRPr="00003E81">
              <w:rPr>
                <w:rFonts w:ascii="Calibri" w:hAnsi="Calibri" w:cs="Calibri"/>
                <w:b/>
                <w:sz w:val="28"/>
                <w:szCs w:val="28"/>
              </w:rPr>
              <w:t>Personal Qualities</w:t>
            </w: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The ability to develop and sustain positive relationships with children young people and adults, and schools and external agencies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High level of integrity, honesty and credibility which will inspire confidence and trust from families and schools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 xml:space="preserve">Emotional literacy including an ability to contain families in emotional stress keeping </w:t>
            </w:r>
            <w:r w:rsidRPr="00003E81">
              <w:rPr>
                <w:rFonts w:ascii="Calibri" w:hAnsi="Calibri" w:cs="Calibri"/>
                <w:sz w:val="22"/>
                <w:szCs w:val="22"/>
              </w:rPr>
              <w:t>self-separate</w:t>
            </w:r>
            <w:r w:rsidRPr="00003E81">
              <w:rPr>
                <w:rFonts w:ascii="Calibri" w:hAnsi="Calibri" w:cs="Calibri"/>
                <w:sz w:val="22"/>
                <w:szCs w:val="22"/>
              </w:rPr>
              <w:t>.</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rPr>
                <w:rFonts w:ascii="Calibri" w:hAnsi="Calibri" w:cs="Calibri"/>
              </w:rPr>
            </w:pPr>
            <w:r w:rsidRPr="00003E81">
              <w:rPr>
                <w:rFonts w:ascii="Calibri" w:hAnsi="Calibri" w:cs="Calibri"/>
                <w:sz w:val="22"/>
                <w:szCs w:val="22"/>
              </w:rPr>
              <w:t>Ability to set and stay within professional boundaries</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jc w:val="center"/>
              <w:rPr>
                <w:rFonts w:ascii="Calibri" w:hAnsi="Calibri" w:cs="Calibri"/>
                <w:szCs w:val="24"/>
              </w:rPr>
            </w:pPr>
          </w:p>
        </w:tc>
      </w:tr>
      <w:tr w:rsidR="00733B7D" w:rsidRPr="00003E81" w:rsidTr="00733B7D">
        <w:tc>
          <w:tcPr>
            <w:tcW w:w="9766" w:type="dxa"/>
            <w:gridSpan w:val="3"/>
            <w:shd w:val="clear" w:color="auto" w:fill="DAEFD3" w:themeFill="accent1" w:themeFillTint="33"/>
          </w:tcPr>
          <w:p w:rsidR="00733B7D" w:rsidRPr="00003E81" w:rsidRDefault="00733B7D" w:rsidP="00003E81">
            <w:pPr>
              <w:jc w:val="center"/>
              <w:rPr>
                <w:rFonts w:ascii="Calibri" w:hAnsi="Calibri" w:cs="Calibri"/>
                <w:szCs w:val="24"/>
              </w:rPr>
            </w:pPr>
            <w:r w:rsidRPr="00003E81">
              <w:rPr>
                <w:rFonts w:ascii="Calibri" w:hAnsi="Calibri" w:cs="Calibri"/>
                <w:b/>
                <w:sz w:val="28"/>
                <w:szCs w:val="28"/>
              </w:rPr>
              <w:t>Other Conditions</w:t>
            </w:r>
          </w:p>
        </w:tc>
      </w:tr>
      <w:tr w:rsidR="00D128B9" w:rsidRPr="00003E81" w:rsidTr="00733B7D">
        <w:tc>
          <w:tcPr>
            <w:tcW w:w="6506" w:type="dxa"/>
            <w:shd w:val="clear" w:color="auto" w:fill="auto"/>
          </w:tcPr>
          <w:p w:rsidR="00D128B9" w:rsidRPr="00003E81" w:rsidRDefault="00D128B9" w:rsidP="00D128B9">
            <w:pPr>
              <w:rPr>
                <w:rFonts w:ascii="Calibri" w:hAnsi="Calibri" w:cs="Calibri"/>
                <w:szCs w:val="24"/>
              </w:rPr>
            </w:pPr>
            <w:r w:rsidRPr="00003E81">
              <w:rPr>
                <w:rFonts w:ascii="Calibri" w:hAnsi="Calibri" w:cs="Calibri"/>
                <w:szCs w:val="24"/>
              </w:rPr>
              <w:t>Enhanced DBS Check</w:t>
            </w:r>
          </w:p>
        </w:tc>
        <w:tc>
          <w:tcPr>
            <w:tcW w:w="1559" w:type="dxa"/>
          </w:tcPr>
          <w:p w:rsidR="00D128B9" w:rsidRPr="00003E81" w:rsidRDefault="00D128B9" w:rsidP="00D128B9">
            <w:pPr>
              <w:jc w:val="center"/>
              <w:rPr>
                <w:rFonts w:ascii="Calibri" w:hAnsi="Calibri" w:cs="Calibri"/>
                <w:szCs w:val="24"/>
              </w:rPr>
            </w:pPr>
            <w:r w:rsidRPr="00003E81">
              <w:rPr>
                <w:rFonts w:ascii="Calibri" w:hAnsi="Calibri" w:cs="Calibri"/>
                <w:szCs w:val="24"/>
              </w:rPr>
              <w:t>√</w:t>
            </w:r>
          </w:p>
        </w:tc>
        <w:tc>
          <w:tcPr>
            <w:tcW w:w="1701" w:type="dxa"/>
          </w:tcPr>
          <w:p w:rsidR="00D128B9" w:rsidRPr="00003E81" w:rsidRDefault="00D128B9" w:rsidP="00D128B9">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Must be legally entitled to work in the UK.</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No contra-indicators in personal background or criminal record in showing unsuitability to work with children/young people/vulnerable clients/ finance. (DBS check required as appropriate)</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 xml:space="preserve">Driving licence and use of own vehicle for work </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r w:rsidR="00003E81" w:rsidRPr="00003E81" w:rsidTr="00733B7D">
        <w:tc>
          <w:tcPr>
            <w:tcW w:w="6506" w:type="dxa"/>
            <w:shd w:val="clear" w:color="auto" w:fill="auto"/>
          </w:tcPr>
          <w:p w:rsidR="00003E81" w:rsidRPr="00003E81" w:rsidRDefault="00003E81" w:rsidP="00003E81">
            <w:pPr>
              <w:jc w:val="both"/>
              <w:rPr>
                <w:rFonts w:ascii="Calibri" w:hAnsi="Calibri" w:cs="Calibri"/>
              </w:rPr>
            </w:pPr>
            <w:r w:rsidRPr="00003E81">
              <w:rPr>
                <w:rFonts w:ascii="Calibri" w:hAnsi="Calibri" w:cs="Calibri"/>
                <w:sz w:val="22"/>
                <w:szCs w:val="22"/>
              </w:rPr>
              <w:t>Business Insurance</w:t>
            </w:r>
          </w:p>
        </w:tc>
        <w:tc>
          <w:tcPr>
            <w:tcW w:w="1559" w:type="dxa"/>
          </w:tcPr>
          <w:p w:rsidR="00003E81" w:rsidRPr="00003E81" w:rsidRDefault="00003E81" w:rsidP="00003E81">
            <w:pPr>
              <w:jc w:val="center"/>
              <w:rPr>
                <w:rFonts w:ascii="Calibri" w:hAnsi="Calibri" w:cs="Calibri"/>
              </w:rPr>
            </w:pPr>
            <w:r w:rsidRPr="00003E81">
              <w:rPr>
                <w:rFonts w:ascii="Calibri" w:hAnsi="Calibri" w:cs="Calibri"/>
                <w:szCs w:val="24"/>
              </w:rPr>
              <w:t>√</w:t>
            </w:r>
          </w:p>
        </w:tc>
        <w:tc>
          <w:tcPr>
            <w:tcW w:w="1701" w:type="dxa"/>
          </w:tcPr>
          <w:p w:rsidR="00003E81" w:rsidRPr="00003E81" w:rsidRDefault="00003E81" w:rsidP="00003E81">
            <w:pPr>
              <w:rPr>
                <w:rFonts w:ascii="Calibri" w:hAnsi="Calibri" w:cs="Calibri"/>
                <w:szCs w:val="24"/>
              </w:rPr>
            </w:pPr>
          </w:p>
        </w:tc>
      </w:tr>
    </w:tbl>
    <w:p w:rsidR="00CB73D6" w:rsidRPr="00003E81" w:rsidRDefault="00CB73D6" w:rsidP="00517FC3">
      <w:pPr>
        <w:spacing w:after="240"/>
        <w:jc w:val="both"/>
        <w:rPr>
          <w:rFonts w:ascii="Calibri" w:hAnsi="Calibri" w:cs="Calibri"/>
          <w:i/>
          <w:szCs w:val="24"/>
        </w:rPr>
      </w:pPr>
    </w:p>
    <w:p w:rsidR="00517FC3" w:rsidRPr="00003E81" w:rsidRDefault="00517FC3" w:rsidP="00517FC3">
      <w:pPr>
        <w:spacing w:after="240"/>
        <w:jc w:val="both"/>
        <w:rPr>
          <w:rFonts w:ascii="Calibri" w:hAnsi="Calibri" w:cs="Calibri"/>
          <w:i/>
          <w:szCs w:val="24"/>
        </w:rPr>
      </w:pPr>
      <w:r w:rsidRPr="00003E81">
        <w:rPr>
          <w:rFonts w:ascii="Calibri" w:hAnsi="Calibri" w:cs="Calibri"/>
          <w:i/>
          <w:szCs w:val="24"/>
        </w:rPr>
        <w:t xml:space="preserve">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517FC3" w:rsidRPr="00D128B9" w:rsidRDefault="00517FC3" w:rsidP="00525759">
      <w:pPr>
        <w:rPr>
          <w:rFonts w:asciiTheme="minorHAnsi" w:hAnsiTheme="minorHAnsi" w:cstheme="minorHAnsi"/>
          <w:szCs w:val="24"/>
        </w:rPr>
      </w:pPr>
    </w:p>
    <w:sectPr w:rsidR="00517FC3" w:rsidRPr="00D128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59" w:rsidRDefault="00525759" w:rsidP="00525759">
      <w:r>
        <w:separator/>
      </w:r>
    </w:p>
  </w:endnote>
  <w:endnote w:type="continuationSeparator" w:id="0">
    <w:p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59" w:rsidRDefault="00525759" w:rsidP="00525759">
      <w:r>
        <w:separator/>
      </w:r>
    </w:p>
  </w:footnote>
  <w:footnote w:type="continuationSeparator" w:id="0">
    <w:p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59" w:rsidRDefault="00525759">
    <w:pPr>
      <w:pStyle w:val="Header"/>
    </w:pPr>
    <w:r>
      <w:rPr>
        <w:noProof/>
      </w:rPr>
      <w:drawing>
        <wp:anchor distT="0" distB="0" distL="114300" distR="114300" simplePos="0" relativeHeight="251660288" behindDoc="1" locked="0" layoutInCell="1" allowOverlap="1">
          <wp:simplePos x="0" y="0"/>
          <wp:positionH relativeFrom="column">
            <wp:posOffset>2318690</wp:posOffset>
          </wp:positionH>
          <wp:positionV relativeFrom="paragraph">
            <wp:posOffset>-244475</wp:posOffset>
          </wp:positionV>
          <wp:extent cx="1148787" cy="613734"/>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87" cy="6137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3D6979"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8193DF9"/>
    <w:multiLevelType w:val="hybridMultilevel"/>
    <w:tmpl w:val="76647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561AC"/>
    <w:multiLevelType w:val="hybridMultilevel"/>
    <w:tmpl w:val="573AB2DA"/>
    <w:lvl w:ilvl="0" w:tplc="9A0A083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97699"/>
    <w:multiLevelType w:val="hybridMultilevel"/>
    <w:tmpl w:val="185E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C47803"/>
    <w:multiLevelType w:val="hybridMultilevel"/>
    <w:tmpl w:val="32843A12"/>
    <w:lvl w:ilvl="0" w:tplc="9A0A0834">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03E81"/>
    <w:rsid w:val="00036310"/>
    <w:rsid w:val="000A7E46"/>
    <w:rsid w:val="002E6ACD"/>
    <w:rsid w:val="002F2553"/>
    <w:rsid w:val="0036747B"/>
    <w:rsid w:val="003F6CB3"/>
    <w:rsid w:val="00430B86"/>
    <w:rsid w:val="004A7C9A"/>
    <w:rsid w:val="00517FC3"/>
    <w:rsid w:val="00525759"/>
    <w:rsid w:val="00733B7D"/>
    <w:rsid w:val="009619DF"/>
    <w:rsid w:val="00AE1A6D"/>
    <w:rsid w:val="00BC0714"/>
    <w:rsid w:val="00C6199D"/>
    <w:rsid w:val="00CB73D6"/>
    <w:rsid w:val="00D128B9"/>
    <w:rsid w:val="00D25FB5"/>
    <w:rsid w:val="00D81558"/>
    <w:rsid w:val="00DE42F4"/>
    <w:rsid w:val="00DF0F25"/>
    <w:rsid w:val="00DF259A"/>
    <w:rsid w:val="00F9301A"/>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A397"/>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B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iPriority w:val="99"/>
    <w:unhideWhenUsed/>
    <w:rsid w:val="00525759"/>
    <w:pPr>
      <w:tabs>
        <w:tab w:val="center" w:pos="4513"/>
        <w:tab w:val="right" w:pos="9026"/>
      </w:tabs>
    </w:pPr>
  </w:style>
  <w:style w:type="character" w:customStyle="1" w:styleId="FooterChar">
    <w:name w:val="Footer Char"/>
    <w:basedOn w:val="DefaultParagraphFont"/>
    <w:link w:val="Footer"/>
    <w:uiPriority w:val="99"/>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 w:type="paragraph" w:styleId="PlainText">
    <w:name w:val="Plain Text"/>
    <w:basedOn w:val="Normal"/>
    <w:link w:val="PlainTextChar"/>
    <w:rsid w:val="00003E81"/>
    <w:rPr>
      <w:rFonts w:ascii="Courier New" w:hAnsi="Courier New" w:cs="Courier New"/>
      <w:szCs w:val="24"/>
    </w:rPr>
  </w:style>
  <w:style w:type="character" w:customStyle="1" w:styleId="PlainTextChar">
    <w:name w:val="Plain Text Char"/>
    <w:basedOn w:val="DefaultParagraphFont"/>
    <w:link w:val="PlainText"/>
    <w:rsid w:val="00003E81"/>
    <w:rPr>
      <w:rFonts w:ascii="Courier New" w:eastAsia="Times New Roman" w:hAnsi="Courier New" w:cs="Courier New"/>
      <w:sz w:val="24"/>
      <w:szCs w:val="24"/>
      <w:lang w:eastAsia="en-GB"/>
    </w:rPr>
  </w:style>
  <w:style w:type="paragraph" w:styleId="ListParagraph">
    <w:name w:val="List Paragraph"/>
    <w:basedOn w:val="Normal"/>
    <w:uiPriority w:val="34"/>
    <w:qFormat/>
    <w:rsid w:val="0000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7286-1E67-440A-A83E-E5FED4E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2</cp:revision>
  <dcterms:created xsi:type="dcterms:W3CDTF">2023-07-25T12:20:00Z</dcterms:created>
  <dcterms:modified xsi:type="dcterms:W3CDTF">2023-07-25T12:20:00Z</dcterms:modified>
</cp:coreProperties>
</file>