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5CE5" w14:textId="1E1209B6" w:rsidR="00EB45CE" w:rsidRDefault="004F0925">
      <w:pPr>
        <w:keepLines/>
        <w:ind w:right="1134"/>
        <w:rPr>
          <w:rFonts w:ascii="Arial" w:hAnsi="Arial"/>
          <w:snapToGrid w:val="0"/>
          <w:color w:val="000000"/>
          <w:sz w:val="20"/>
        </w:rPr>
      </w:pPr>
      <w:r>
        <w:rPr>
          <w:lang w:eastAsia="en-GB"/>
        </w:rPr>
        <w:drawing>
          <wp:anchor distT="0" distB="0" distL="114300" distR="114300" simplePos="0" relativeHeight="251659264" behindDoc="1" locked="0" layoutInCell="1" allowOverlap="1" wp14:anchorId="2233FC1E" wp14:editId="31676CFF">
            <wp:simplePos x="0" y="0"/>
            <wp:positionH relativeFrom="margin">
              <wp:posOffset>5210175</wp:posOffset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A953B" w14:textId="77777777" w:rsidR="00EB45CE" w:rsidRDefault="00EB45CE">
      <w:pPr>
        <w:keepLines/>
        <w:ind w:right="1134"/>
        <w:jc w:val="center"/>
        <w:rPr>
          <w:rFonts w:ascii="Arial" w:hAnsi="Arial"/>
          <w:b/>
          <w:snapToGrid w:val="0"/>
          <w:color w:val="000000"/>
          <w:sz w:val="28"/>
          <w:szCs w:val="28"/>
        </w:rPr>
      </w:pPr>
    </w:p>
    <w:p w14:paraId="756BE2AE" w14:textId="77777777" w:rsidR="00EB45CE" w:rsidRDefault="00664F81">
      <w:pPr>
        <w:keepLines/>
        <w:ind w:right="1134"/>
        <w:jc w:val="center"/>
        <w:rPr>
          <w:rFonts w:ascii="Arial" w:hAnsi="Arial"/>
          <w:b/>
          <w:snapToGrid w:val="0"/>
          <w:color w:val="000000"/>
          <w:sz w:val="28"/>
          <w:szCs w:val="28"/>
        </w:rPr>
      </w:pPr>
      <w:r>
        <w:rPr>
          <w:rFonts w:ascii="Arial" w:hAnsi="Arial"/>
          <w:b/>
          <w:snapToGrid w:val="0"/>
          <w:color w:val="000000"/>
          <w:sz w:val="28"/>
          <w:szCs w:val="28"/>
        </w:rPr>
        <w:t xml:space="preserve">    </w:t>
      </w:r>
    </w:p>
    <w:p w14:paraId="46E41CC7" w14:textId="77777777" w:rsidR="00EB45CE" w:rsidRDefault="00EB45CE">
      <w:pPr>
        <w:keepLines/>
        <w:ind w:right="1134"/>
        <w:rPr>
          <w:rFonts w:ascii="Arial" w:hAnsi="Arial"/>
          <w:snapToGrid w:val="0"/>
          <w:color w:val="000000"/>
          <w:sz w:val="20"/>
        </w:rPr>
      </w:pPr>
    </w:p>
    <w:p w14:paraId="3830E9F7" w14:textId="77777777" w:rsidR="00EB45CE" w:rsidRDefault="00EB45CE">
      <w:pPr>
        <w:keepLines/>
        <w:ind w:right="1134"/>
        <w:rPr>
          <w:rFonts w:ascii="Arial" w:hAnsi="Arial"/>
          <w:snapToGrid w:val="0"/>
          <w:color w:val="000000"/>
          <w:sz w:val="20"/>
        </w:rPr>
      </w:pPr>
    </w:p>
    <w:p w14:paraId="6C9761D1" w14:textId="1990E3F9" w:rsidR="00EB45CE" w:rsidRDefault="00EB45CE">
      <w:pPr>
        <w:autoSpaceDE w:val="0"/>
        <w:autoSpaceDN w:val="0"/>
        <w:adjustRightInd w:val="0"/>
        <w:jc w:val="both"/>
        <w:rPr>
          <w:rFonts w:ascii="Arial" w:hAnsi="Arial" w:cs="Arial"/>
          <w:sz w:val="40"/>
          <w:szCs w:val="40"/>
        </w:rPr>
      </w:pPr>
    </w:p>
    <w:p w14:paraId="06907488" w14:textId="11A2653A" w:rsidR="00EB45CE" w:rsidRDefault="00EB45CE">
      <w:pPr>
        <w:rPr>
          <w:rFonts w:ascii="Arial" w:eastAsia="Times New Roman" w:hAnsi="Arial" w:cs="Arial"/>
          <w:b/>
          <w:bCs/>
          <w:noProof w:val="0"/>
          <w:sz w:val="40"/>
          <w:szCs w:val="40"/>
        </w:rPr>
      </w:pPr>
    </w:p>
    <w:p w14:paraId="6ED34491" w14:textId="77777777" w:rsidR="00EB45CE" w:rsidRDefault="00EB45CE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 w:val="22"/>
          <w:szCs w:val="22"/>
          <w:lang w:eastAsia="en-GB"/>
        </w:rPr>
      </w:pPr>
    </w:p>
    <w:p w14:paraId="115D8D1A" w14:textId="77777777" w:rsidR="00E402D3" w:rsidRDefault="00E402D3" w:rsidP="00E402D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Being an ECT at Nobel School</w:t>
      </w:r>
    </w:p>
    <w:p w14:paraId="4CFADEBC" w14:textId="77777777" w:rsidR="00E402D3" w:rsidRDefault="00E402D3" w:rsidP="00E402D3">
      <w:pPr>
        <w:rPr>
          <w:rFonts w:ascii="Arial" w:hAnsi="Arial" w:cs="Arial"/>
        </w:rPr>
      </w:pPr>
    </w:p>
    <w:p w14:paraId="4F3FA64A" w14:textId="77777777" w:rsidR="00E402D3" w:rsidRPr="00544028" w:rsidRDefault="00E402D3" w:rsidP="00E402D3">
      <w:pPr>
        <w:rPr>
          <w:rFonts w:ascii="Arial" w:hAnsi="Arial" w:cs="Arial"/>
          <w:szCs w:val="24"/>
        </w:rPr>
      </w:pPr>
      <w:r w:rsidRPr="00544028">
        <w:rPr>
          <w:rFonts w:ascii="Arial" w:hAnsi="Arial" w:cs="Arial"/>
        </w:rPr>
        <w:t>We are extremely proud of the provision that we offer to our early career teachers.</w:t>
      </w:r>
      <w:r w:rsidRPr="00544028">
        <w:rPr>
          <w:rFonts w:ascii="Arial" w:hAnsi="Arial" w:cs="Arial"/>
          <w:b/>
          <w:bCs/>
        </w:rPr>
        <w:t xml:space="preserve"> </w:t>
      </w:r>
      <w:r w:rsidRPr="00544028">
        <w:rPr>
          <w:rFonts w:ascii="Arial" w:hAnsi="Arial" w:cs="Arial"/>
        </w:rPr>
        <w:t>100% of colleagues recruited as ECTs in September 2021 have chosen to stay at Nobel having successfully met the requirements for completion of induction.</w:t>
      </w:r>
    </w:p>
    <w:p w14:paraId="57DB5679" w14:textId="77777777" w:rsidR="00E402D3" w:rsidRPr="00544028" w:rsidRDefault="00E402D3" w:rsidP="00E402D3">
      <w:pPr>
        <w:rPr>
          <w:rFonts w:ascii="Arial" w:hAnsi="Arial" w:cs="Arial"/>
          <w:b/>
          <w:bCs/>
          <w:sz w:val="22"/>
          <w:szCs w:val="22"/>
        </w:rPr>
      </w:pPr>
    </w:p>
    <w:p w14:paraId="149147E3" w14:textId="77777777" w:rsidR="00E402D3" w:rsidRPr="00544028" w:rsidRDefault="00E402D3" w:rsidP="00E402D3">
      <w:pPr>
        <w:rPr>
          <w:rFonts w:ascii="Arial" w:hAnsi="Arial" w:cs="Arial"/>
        </w:rPr>
      </w:pPr>
      <w:r w:rsidRPr="00544028">
        <w:rPr>
          <w:rFonts w:ascii="Arial" w:hAnsi="Arial" w:cs="Arial"/>
        </w:rPr>
        <w:t>As you embark on your teaching career as an ECT, you will have a comprehensive induction programme of mentoring and support personalised to meet your professional development needs.</w:t>
      </w:r>
    </w:p>
    <w:p w14:paraId="247F8078" w14:textId="77777777" w:rsidR="00E402D3" w:rsidRPr="00544028" w:rsidRDefault="00E402D3" w:rsidP="00E402D3">
      <w:pPr>
        <w:rPr>
          <w:rFonts w:ascii="Arial" w:hAnsi="Arial" w:cs="Arial"/>
        </w:rPr>
      </w:pPr>
    </w:p>
    <w:p w14:paraId="4A704D7D" w14:textId="77777777" w:rsidR="00E402D3" w:rsidRPr="00544028" w:rsidRDefault="00E402D3" w:rsidP="00E402D3">
      <w:pPr>
        <w:rPr>
          <w:rFonts w:ascii="Arial" w:hAnsi="Arial" w:cs="Arial"/>
        </w:rPr>
      </w:pPr>
    </w:p>
    <w:p w14:paraId="5159A2B4" w14:textId="77777777" w:rsidR="00E402D3" w:rsidRPr="00544028" w:rsidRDefault="00E402D3" w:rsidP="00E402D3">
      <w:pPr>
        <w:rPr>
          <w:rFonts w:ascii="Arial" w:hAnsi="Arial" w:cs="Arial"/>
          <w:b/>
          <w:bCs/>
        </w:rPr>
      </w:pPr>
      <w:r w:rsidRPr="00544028">
        <w:rPr>
          <w:rFonts w:ascii="Arial" w:hAnsi="Arial" w:cs="Arial"/>
          <w:b/>
          <w:bCs/>
        </w:rPr>
        <w:t>All ECTs can expect:</w:t>
      </w:r>
    </w:p>
    <w:p w14:paraId="76C3BB9D" w14:textId="77777777" w:rsidR="00E402D3" w:rsidRPr="00544028" w:rsidRDefault="00E402D3" w:rsidP="00E402D3">
      <w:pPr>
        <w:rPr>
          <w:rFonts w:ascii="Arial" w:hAnsi="Arial" w:cs="Arial"/>
          <w:b/>
          <w:bCs/>
        </w:rPr>
      </w:pPr>
    </w:p>
    <w:p w14:paraId="4E016946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 xml:space="preserve">Instructional coaching informed by the latest research about effective professional development. </w:t>
      </w:r>
    </w:p>
    <w:p w14:paraId="27308A5B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Support and guidance from a subject mentor and coach.</w:t>
      </w:r>
    </w:p>
    <w:p w14:paraId="0C389C6E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Weekly timetabled mentor meetings.</w:t>
      </w:r>
    </w:p>
    <w:p w14:paraId="72D5D37E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Regular low-stakes observation and coaching meetings.</w:t>
      </w:r>
    </w:p>
    <w:p w14:paraId="101F7712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Termly professional reviews of progress with the professional mentor (member of Senior Leadership Team).</w:t>
      </w:r>
    </w:p>
    <w:p w14:paraId="2227AF67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Observations of experienced teachers.</w:t>
      </w:r>
    </w:p>
    <w:p w14:paraId="6780CF4B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Access to the ECF through ‘The Stevenage Group’. This will allow you to meet and network with other ECTs across Stevenage.</w:t>
      </w:r>
    </w:p>
    <w:p w14:paraId="539D5805" w14:textId="77777777" w:rsidR="00E402D3" w:rsidRPr="00544028" w:rsidRDefault="00E402D3" w:rsidP="00E402D3">
      <w:pPr>
        <w:numPr>
          <w:ilvl w:val="0"/>
          <w:numId w:val="19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544028">
        <w:rPr>
          <w:rFonts w:ascii="Arial" w:eastAsia="Times New Roman" w:hAnsi="Arial" w:cs="Arial"/>
          <w:lang w:eastAsia="en-GB"/>
        </w:rPr>
        <w:t>Termly assessments in line with County guidance.</w:t>
      </w:r>
    </w:p>
    <w:p w14:paraId="5646A79C" w14:textId="77777777" w:rsidR="00E402D3" w:rsidRPr="00544028" w:rsidRDefault="00E402D3" w:rsidP="00E402D3">
      <w:pPr>
        <w:rPr>
          <w:rFonts w:ascii="Arial" w:eastAsiaTheme="minorHAnsi" w:hAnsi="Arial" w:cs="Arial"/>
        </w:rPr>
      </w:pPr>
    </w:p>
    <w:p w14:paraId="6F98E5CF" w14:textId="77777777" w:rsidR="00E402D3" w:rsidRDefault="00E402D3" w:rsidP="00E402D3">
      <w:pPr>
        <w:rPr>
          <w:rFonts w:ascii="Arial" w:hAnsi="Arial" w:cs="Arial"/>
        </w:rPr>
      </w:pPr>
      <w:r w:rsidRPr="00544028">
        <w:rPr>
          <w:rFonts w:ascii="Arial" w:hAnsi="Arial" w:cs="Arial"/>
        </w:rPr>
        <w:t>Nobel has a strong history of successful ECT induction.  You can be assured that you will receive the very best experience on offer.</w:t>
      </w:r>
    </w:p>
    <w:p w14:paraId="57B523BE" w14:textId="0085932E" w:rsidR="00E402D3" w:rsidRDefault="00E402D3" w:rsidP="00E402D3">
      <w:pPr>
        <w:autoSpaceDE w:val="0"/>
        <w:autoSpaceDN w:val="0"/>
        <w:adjustRightInd w:val="0"/>
        <w:jc w:val="both"/>
        <w:rPr>
          <w:rFonts w:ascii="Arial" w:hAnsi="Arial" w:cs="Arial"/>
          <w:sz w:val="40"/>
          <w:szCs w:val="40"/>
        </w:rPr>
      </w:pPr>
    </w:p>
    <w:p w14:paraId="46FF256F" w14:textId="77777777" w:rsidR="00664F81" w:rsidRDefault="00664F81" w:rsidP="00664F81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eastAsia="en-GB"/>
        </w:rPr>
      </w:pPr>
      <w:r>
        <w:rPr>
          <w:rFonts w:ascii="Arial" w:hAnsi="Arial" w:cs="Arial"/>
          <w:b/>
          <w:szCs w:val="24"/>
          <w:lang w:eastAsia="en-GB"/>
        </w:rPr>
        <w:br w:type="page"/>
      </w:r>
    </w:p>
    <w:p w14:paraId="469FCC2F" w14:textId="77777777" w:rsidR="00EB45CE" w:rsidRDefault="00EB45CE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Cs w:val="24"/>
          <w:lang w:eastAsia="en-GB"/>
        </w:rPr>
      </w:pPr>
    </w:p>
    <w:p w14:paraId="7B68F393" w14:textId="77777777" w:rsidR="00EB45CE" w:rsidRDefault="00EB45CE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Cs w:val="24"/>
          <w:lang w:eastAsia="en-GB"/>
        </w:rPr>
      </w:pPr>
    </w:p>
    <w:p w14:paraId="045539B4" w14:textId="77777777" w:rsidR="00EB45CE" w:rsidRDefault="00664F8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Cs w:val="24"/>
          <w:lang w:eastAsia="en-GB"/>
        </w:rPr>
      </w:pPr>
      <w:r>
        <w:rPr>
          <w:rFonts w:ascii="Arial" w:hAnsi="Arial" w:cs="Arial"/>
          <w:b/>
          <w:noProof w:val="0"/>
          <w:szCs w:val="24"/>
          <w:lang w:eastAsia="en-GB"/>
        </w:rPr>
        <w:t>Person Specification</w:t>
      </w:r>
    </w:p>
    <w:p w14:paraId="54936610" w14:textId="65415CF5" w:rsidR="00EB45CE" w:rsidRDefault="00664F8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Cs w:val="24"/>
          <w:lang w:eastAsia="en-GB"/>
        </w:rPr>
      </w:pPr>
      <w:r>
        <w:rPr>
          <w:rFonts w:ascii="Arial" w:hAnsi="Arial" w:cs="Arial"/>
          <w:b/>
          <w:szCs w:val="24"/>
        </w:rPr>
        <w:t xml:space="preserve">Teacher of </w:t>
      </w:r>
      <w:r w:rsidR="002D427E">
        <w:rPr>
          <w:rFonts w:ascii="Arial" w:hAnsi="Arial" w:cs="Arial"/>
          <w:b/>
          <w:szCs w:val="24"/>
        </w:rPr>
        <w:t>Sociology</w:t>
      </w:r>
    </w:p>
    <w:p w14:paraId="35BF4C14" w14:textId="77777777" w:rsidR="00EB45CE" w:rsidRDefault="00EB45CE">
      <w:pPr>
        <w:rPr>
          <w:rFonts w:ascii="Arial" w:hAnsi="Arial" w:cs="Arial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57"/>
      </w:tblGrid>
      <w:tr w:rsidR="00EB45CE" w14:paraId="66F6A39A" w14:textId="77777777">
        <w:trPr>
          <w:trHeight w:val="424"/>
        </w:trPr>
        <w:tc>
          <w:tcPr>
            <w:tcW w:w="5228" w:type="dxa"/>
            <w:tcBorders>
              <w:bottom w:val="nil"/>
            </w:tcBorders>
          </w:tcPr>
          <w:p w14:paraId="06D6740F" w14:textId="77777777" w:rsidR="00EB45CE" w:rsidRDefault="00664F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 w:val="0"/>
                <w:szCs w:val="24"/>
                <w:lang w:eastAsia="en-GB"/>
              </w:rPr>
              <w:t>Essential</w:t>
            </w:r>
          </w:p>
        </w:tc>
        <w:tc>
          <w:tcPr>
            <w:tcW w:w="5257" w:type="dxa"/>
            <w:tcBorders>
              <w:bottom w:val="nil"/>
            </w:tcBorders>
          </w:tcPr>
          <w:p w14:paraId="6C2F204A" w14:textId="77777777" w:rsidR="00EB45CE" w:rsidRDefault="00664F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 w:val="0"/>
                <w:szCs w:val="24"/>
                <w:lang w:eastAsia="en-GB"/>
              </w:rPr>
              <w:t>Desirable</w:t>
            </w:r>
          </w:p>
        </w:tc>
      </w:tr>
      <w:tr w:rsidR="00EB45CE" w14:paraId="5A9EDF72" w14:textId="77777777">
        <w:trPr>
          <w:cantSplit/>
        </w:trPr>
        <w:tc>
          <w:tcPr>
            <w:tcW w:w="10485" w:type="dxa"/>
            <w:gridSpan w:val="2"/>
            <w:shd w:val="pct15" w:color="auto" w:fill="FFFFFF"/>
          </w:tcPr>
          <w:p w14:paraId="1EEF3A5E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Skills and Experience</w:t>
            </w:r>
          </w:p>
        </w:tc>
      </w:tr>
      <w:tr w:rsidR="00EB45CE" w14:paraId="370AC2C0" w14:textId="77777777">
        <w:tc>
          <w:tcPr>
            <w:tcW w:w="5228" w:type="dxa"/>
          </w:tcPr>
          <w:p w14:paraId="1BEEF434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391B35EC" w14:textId="2EF9A48F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Education to degree level plus teaching qualification</w:t>
            </w:r>
          </w:p>
          <w:p w14:paraId="63F08010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1C6DE425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3ED61C5C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</w:tr>
      <w:tr w:rsidR="00EB45CE" w14:paraId="1B8D5BFF" w14:textId="77777777">
        <w:tc>
          <w:tcPr>
            <w:tcW w:w="5228" w:type="dxa"/>
          </w:tcPr>
          <w:p w14:paraId="32DE049C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0A63ABBE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Evidence of successful initial experience or teaching practice</w:t>
            </w:r>
          </w:p>
          <w:p w14:paraId="2CC04E0C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687EFAC6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6A6764A7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Teaching practice or experience in a comprehensive/wide ability school</w:t>
            </w:r>
          </w:p>
        </w:tc>
      </w:tr>
      <w:tr w:rsidR="00EB45CE" w14:paraId="44CEC43B" w14:textId="77777777">
        <w:tc>
          <w:tcPr>
            <w:tcW w:w="5228" w:type="dxa"/>
          </w:tcPr>
          <w:p w14:paraId="190F0CBF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7168BD52" w14:textId="21320AF0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Potential expertise in the teaching of </w:t>
            </w:r>
            <w:r w:rsidR="00C51E51">
              <w:rPr>
                <w:rFonts w:ascii="Arial" w:hAnsi="Arial" w:cs="Arial"/>
                <w:szCs w:val="24"/>
              </w:rPr>
              <w:t>Sociology</w:t>
            </w:r>
            <w:r w:rsidR="00B946E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at </w:t>
            </w:r>
            <w:r w:rsidR="00B946E1">
              <w:rPr>
                <w:rFonts w:ascii="Arial" w:hAnsi="Arial" w:cs="Arial"/>
                <w:i/>
                <w:szCs w:val="24"/>
              </w:rPr>
              <w:t>KS3 and KS4</w:t>
            </w:r>
          </w:p>
          <w:p w14:paraId="5A33ECFF" w14:textId="77777777" w:rsidR="00EB45CE" w:rsidRDefault="00EB45CE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257" w:type="dxa"/>
          </w:tcPr>
          <w:p w14:paraId="1517D65F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4E87A4EC" w14:textId="7256FE75" w:rsidR="00EB45CE" w:rsidRDefault="00ED47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Interest in teaching </w:t>
            </w:r>
            <w:r w:rsidR="00C51E51">
              <w:rPr>
                <w:rFonts w:ascii="Arial" w:hAnsi="Arial" w:cs="Arial"/>
                <w:szCs w:val="24"/>
              </w:rPr>
              <w:t>Child Development and/or P</w:t>
            </w:r>
            <w:r w:rsidR="00C56E29">
              <w:rPr>
                <w:rFonts w:ascii="Arial" w:hAnsi="Arial" w:cs="Arial"/>
                <w:szCs w:val="24"/>
              </w:rPr>
              <w:t>sy</w:t>
            </w:r>
            <w:r w:rsidR="00C51E51">
              <w:rPr>
                <w:rFonts w:ascii="Arial" w:hAnsi="Arial" w:cs="Arial"/>
                <w:szCs w:val="24"/>
              </w:rPr>
              <w:t xml:space="preserve">chology </w:t>
            </w:r>
          </w:p>
        </w:tc>
      </w:tr>
      <w:tr w:rsidR="00EB45CE" w14:paraId="32D9CA77" w14:textId="77777777">
        <w:tc>
          <w:tcPr>
            <w:tcW w:w="5228" w:type="dxa"/>
            <w:tcBorders>
              <w:bottom w:val="nil"/>
            </w:tcBorders>
          </w:tcPr>
          <w:p w14:paraId="4B4AE4BF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13366103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Willingness and ability to participate in extra-curricular activity.</w:t>
            </w:r>
          </w:p>
          <w:p w14:paraId="2834599A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257" w:type="dxa"/>
            <w:tcBorders>
              <w:bottom w:val="nil"/>
            </w:tcBorders>
          </w:tcPr>
          <w:p w14:paraId="7B5E348B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6812C343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extra curricular involvement</w:t>
            </w:r>
          </w:p>
        </w:tc>
      </w:tr>
      <w:tr w:rsidR="00EB45CE" w14:paraId="069DAF1F" w14:textId="77777777">
        <w:tc>
          <w:tcPr>
            <w:tcW w:w="5228" w:type="dxa"/>
            <w:tcBorders>
              <w:bottom w:val="nil"/>
            </w:tcBorders>
          </w:tcPr>
          <w:p w14:paraId="68390B00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6F67DBAF" w14:textId="07A6E24E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Good knowledge and understanding of the National Curriculum in </w:t>
            </w:r>
            <w:r w:rsidR="00C56E29">
              <w:rPr>
                <w:rFonts w:ascii="Arial" w:hAnsi="Arial" w:cs="Arial"/>
                <w:szCs w:val="24"/>
              </w:rPr>
              <w:t>Sociology</w:t>
            </w:r>
          </w:p>
          <w:p w14:paraId="7E63BCDC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  <w:tcBorders>
              <w:bottom w:val="nil"/>
            </w:tcBorders>
          </w:tcPr>
          <w:p w14:paraId="53514087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6F255794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the formal assessment of students’ work</w:t>
            </w:r>
          </w:p>
        </w:tc>
      </w:tr>
      <w:tr w:rsidR="00EB45CE" w14:paraId="3F32B911" w14:textId="77777777">
        <w:tc>
          <w:tcPr>
            <w:tcW w:w="5228" w:type="dxa"/>
            <w:tcBorders>
              <w:bottom w:val="nil"/>
            </w:tcBorders>
          </w:tcPr>
          <w:p w14:paraId="6A53F088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313F7B0E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Excellent oral and written communication skills</w:t>
            </w:r>
          </w:p>
          <w:p w14:paraId="6B60A645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  <w:tcBorders>
              <w:bottom w:val="nil"/>
            </w:tcBorders>
          </w:tcPr>
          <w:p w14:paraId="75D78B44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6906A69D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Good/excellent IT skills</w:t>
            </w:r>
          </w:p>
        </w:tc>
      </w:tr>
      <w:tr w:rsidR="00EB45CE" w14:paraId="4E437BE1" w14:textId="77777777">
        <w:trPr>
          <w:cantSplit/>
        </w:trPr>
        <w:tc>
          <w:tcPr>
            <w:tcW w:w="10485" w:type="dxa"/>
            <w:gridSpan w:val="2"/>
            <w:shd w:val="pct15" w:color="auto" w:fill="FFFFFF"/>
          </w:tcPr>
          <w:p w14:paraId="17F28776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Personal Qualities</w:t>
            </w:r>
          </w:p>
        </w:tc>
      </w:tr>
      <w:tr w:rsidR="00EB45CE" w14:paraId="5D694310" w14:textId="77777777">
        <w:tc>
          <w:tcPr>
            <w:tcW w:w="5228" w:type="dxa"/>
          </w:tcPr>
          <w:p w14:paraId="0DF4418E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6E839DC1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Commitment to teamwork and collaboration</w:t>
            </w:r>
          </w:p>
          <w:p w14:paraId="4A47E5A8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43423147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</w:tr>
      <w:tr w:rsidR="00EB45CE" w14:paraId="76689F6D" w14:textId="77777777">
        <w:tc>
          <w:tcPr>
            <w:tcW w:w="5228" w:type="dxa"/>
          </w:tcPr>
          <w:p w14:paraId="2A3EA796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40AFF91D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establish good relationships with students, parents and staff</w:t>
            </w:r>
          </w:p>
          <w:p w14:paraId="39F49C49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781C72AF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</w:tr>
      <w:tr w:rsidR="00EB45CE" w14:paraId="57D347FF" w14:textId="77777777">
        <w:tc>
          <w:tcPr>
            <w:tcW w:w="5228" w:type="dxa"/>
          </w:tcPr>
          <w:p w14:paraId="26B9228B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276EF169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Dependability and sound organisational skills</w:t>
            </w:r>
          </w:p>
          <w:p w14:paraId="6630047C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5B2903DA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4F85B73C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time management</w:t>
            </w:r>
          </w:p>
        </w:tc>
      </w:tr>
      <w:tr w:rsidR="00EB45CE" w14:paraId="5C53C803" w14:textId="77777777">
        <w:tc>
          <w:tcPr>
            <w:tcW w:w="5228" w:type="dxa"/>
          </w:tcPr>
          <w:p w14:paraId="5F7DDB40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7A510960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Enthusiasm and good sense of humour</w:t>
            </w:r>
          </w:p>
          <w:p w14:paraId="11E1B3FE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1AC2E487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41C5CCEF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Perseverance</w:t>
            </w:r>
          </w:p>
        </w:tc>
      </w:tr>
      <w:tr w:rsidR="00EB45CE" w14:paraId="25922C72" w14:textId="77777777">
        <w:tc>
          <w:tcPr>
            <w:tcW w:w="5228" w:type="dxa"/>
          </w:tcPr>
          <w:p w14:paraId="152CF71B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  <w:p w14:paraId="79107C61" w14:textId="77777777" w:rsidR="00EB45CE" w:rsidRDefault="00664F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Flexibility</w:t>
            </w:r>
          </w:p>
          <w:p w14:paraId="08809093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57" w:type="dxa"/>
          </w:tcPr>
          <w:p w14:paraId="47370A47" w14:textId="77777777" w:rsidR="00EB45CE" w:rsidRDefault="00EB45C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3BFE568" w14:textId="77777777" w:rsidR="00EB45CE" w:rsidRDefault="00EB45CE">
      <w:pPr>
        <w:rPr>
          <w:lang w:eastAsia="en-GB"/>
        </w:rPr>
      </w:pPr>
    </w:p>
    <w:p w14:paraId="23D0B860" w14:textId="77777777" w:rsidR="00EB45CE" w:rsidRDefault="00664F81">
      <w:pPr>
        <w:rPr>
          <w:lang w:eastAsia="en-GB"/>
        </w:rPr>
      </w:pPr>
      <w:r>
        <w:rPr>
          <w:rFonts w:ascii="Times New Roman" w:eastAsia="Times New Roman" w:hAnsi="Times New Roman"/>
          <w:b/>
          <w:bCs/>
          <w:szCs w:val="24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2626DB2F" wp14:editId="3BB35318">
            <wp:simplePos x="0" y="0"/>
            <wp:positionH relativeFrom="margin">
              <wp:posOffset>5290185</wp:posOffset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DFC71" w14:textId="77777777" w:rsidR="00EB45CE" w:rsidRDefault="00EB45CE">
      <w:pPr>
        <w:jc w:val="center"/>
        <w:rPr>
          <w:rFonts w:ascii="Arial" w:eastAsia="Times New Roman" w:hAnsi="Arial" w:cs="Arial"/>
          <w:b/>
          <w:bCs/>
          <w:noProof w:val="0"/>
          <w:sz w:val="76"/>
          <w:szCs w:val="76"/>
        </w:rPr>
      </w:pPr>
    </w:p>
    <w:p w14:paraId="7A0A2C0D" w14:textId="77777777" w:rsidR="00EB45CE" w:rsidRDefault="00EB45CE">
      <w:pPr>
        <w:rPr>
          <w:rFonts w:ascii="Arial" w:eastAsia="Times New Roman" w:hAnsi="Arial" w:cs="Arial"/>
          <w:bCs/>
          <w:noProof w:val="0"/>
          <w:szCs w:val="24"/>
          <w:lang w:eastAsia="en-GB"/>
        </w:rPr>
      </w:pPr>
    </w:p>
    <w:p w14:paraId="7348E6FB" w14:textId="77777777" w:rsidR="00EB45CE" w:rsidRDefault="00EB45CE">
      <w:pPr>
        <w:rPr>
          <w:rFonts w:ascii="Arial" w:eastAsia="Times New Roman" w:hAnsi="Arial" w:cs="Arial"/>
          <w:b/>
          <w:bCs/>
          <w:noProof w:val="0"/>
          <w:szCs w:val="24"/>
          <w:lang w:eastAsia="en-GB"/>
        </w:rPr>
      </w:pPr>
    </w:p>
    <w:p w14:paraId="4ED2198D" w14:textId="77777777" w:rsidR="00EB45CE" w:rsidRDefault="00664F81">
      <w:pPr>
        <w:rPr>
          <w:rFonts w:ascii="Arial" w:eastAsia="Times New Roman" w:hAnsi="Arial" w:cs="Arial"/>
          <w:b/>
          <w:bCs/>
          <w:noProof w:val="0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 w:val="0"/>
          <w:szCs w:val="24"/>
          <w:lang w:eastAsia="en-GB"/>
        </w:rPr>
        <w:t>Job Description</w:t>
      </w:r>
    </w:p>
    <w:p w14:paraId="6D2B257D" w14:textId="77777777" w:rsidR="00EB45CE" w:rsidRDefault="00EB45CE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Cs w:val="24"/>
          <w:lang w:eastAsia="en-GB"/>
        </w:rPr>
      </w:pPr>
    </w:p>
    <w:p w14:paraId="2B4A2280" w14:textId="77777777" w:rsidR="00EB45CE" w:rsidRDefault="00664F81">
      <w:pPr>
        <w:autoSpaceDE w:val="0"/>
        <w:autoSpaceDN w:val="0"/>
        <w:adjustRightInd w:val="0"/>
        <w:jc w:val="both"/>
        <w:rPr>
          <w:rFonts w:ascii="Arial" w:hAnsi="Arial" w:cs="Arial"/>
          <w:b/>
          <w:noProof w:val="0"/>
          <w:szCs w:val="24"/>
          <w:lang w:eastAsia="en-GB"/>
        </w:rPr>
      </w:pPr>
      <w:r>
        <w:rPr>
          <w:rFonts w:ascii="Arial" w:hAnsi="Arial" w:cs="Arial"/>
          <w:b/>
          <w:noProof w:val="0"/>
          <w:szCs w:val="24"/>
          <w:lang w:eastAsia="en-GB"/>
        </w:rPr>
        <w:t xml:space="preserve">Purpose </w:t>
      </w:r>
    </w:p>
    <w:p w14:paraId="561A462A" w14:textId="77777777" w:rsidR="00EB45CE" w:rsidRDefault="00664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carry out the professional duties of a teacher as circumstances may require and in accordance with the school’s polices and the national teaching standards 2013.</w:t>
      </w:r>
    </w:p>
    <w:p w14:paraId="4902A5E7" w14:textId="77777777" w:rsidR="00EB45CE" w:rsidRDefault="00EB45CE">
      <w:pPr>
        <w:jc w:val="both"/>
        <w:rPr>
          <w:rFonts w:ascii="Arial" w:hAnsi="Arial" w:cs="Arial"/>
        </w:rPr>
      </w:pPr>
    </w:p>
    <w:p w14:paraId="05A3774C" w14:textId="77777777" w:rsidR="00EB45CE" w:rsidRDefault="00664F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Context</w:t>
      </w:r>
    </w:p>
    <w:p w14:paraId="6B24530F" w14:textId="77777777" w:rsidR="00EB45CE" w:rsidRDefault="00664F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primary responsibility of all teachers is to ensure that all students within their teaching and form groups attain to their maximum potential. The objectives are to ensure:</w:t>
      </w:r>
    </w:p>
    <w:p w14:paraId="6B9345FB" w14:textId="77777777" w:rsidR="00EB45CE" w:rsidRDefault="00664F81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consistently high standards of learning and teaching</w:t>
      </w:r>
    </w:p>
    <w:p w14:paraId="0BF09ECE" w14:textId="77777777" w:rsidR="00EB45CE" w:rsidRDefault="00664F81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continual progress in educational achievement</w:t>
      </w:r>
    </w:p>
    <w:p w14:paraId="2908F89D" w14:textId="77777777" w:rsidR="00EB45CE" w:rsidRDefault="00664F81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positive attitudes to learning and school</w:t>
      </w:r>
    </w:p>
    <w:p w14:paraId="58366637" w14:textId="77777777" w:rsidR="00EB45CE" w:rsidRDefault="00664F81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personal and social development</w:t>
      </w:r>
    </w:p>
    <w:p w14:paraId="39FC3B40" w14:textId="77777777" w:rsidR="00EB45CE" w:rsidRDefault="00EB45CE">
      <w:pPr>
        <w:rPr>
          <w:rFonts w:ascii="Arial" w:hAnsi="Arial" w:cs="Arial"/>
          <w:bCs/>
        </w:rPr>
      </w:pPr>
    </w:p>
    <w:p w14:paraId="1C79D5FA" w14:textId="77777777" w:rsidR="00EB45CE" w:rsidRDefault="00664F81">
      <w:pPr>
        <w:autoSpaceDE w:val="0"/>
        <w:autoSpaceDN w:val="0"/>
        <w:adjustRightInd w:val="0"/>
        <w:rPr>
          <w:rFonts w:ascii="Arial" w:eastAsia="Calibri" w:hAnsi="Arial" w:cs="Arial"/>
          <w:noProof w:val="0"/>
          <w:color w:val="000000"/>
          <w:sz w:val="23"/>
          <w:szCs w:val="23"/>
        </w:rPr>
      </w:pPr>
      <w:r>
        <w:rPr>
          <w:rFonts w:ascii="Arial" w:eastAsia="Calibri" w:hAnsi="Arial" w:cs="Arial"/>
          <w:noProof w:val="0"/>
          <w:color w:val="000000"/>
          <w:sz w:val="23"/>
          <w:szCs w:val="23"/>
        </w:rPr>
        <w:t>Working Time: 195 days / 1265 hours per year - Full time (or Part-time equivalent).</w:t>
      </w:r>
    </w:p>
    <w:tbl>
      <w:tblPr>
        <w:tblpPr w:leftFromText="180" w:rightFromText="180" w:vertAnchor="text" w:horzAnchor="margin" w:tblpY="352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73"/>
      </w:tblGrid>
      <w:tr w:rsidR="00EB45CE" w14:paraId="255748AE" w14:textId="77777777">
        <w:trPr>
          <w:trHeight w:val="420"/>
          <w:tblHeader/>
        </w:trPr>
        <w:tc>
          <w:tcPr>
            <w:tcW w:w="1951" w:type="dxa"/>
          </w:tcPr>
          <w:p w14:paraId="0912957D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color w:val="000000"/>
                <w:kern w:val="32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32"/>
                <w:szCs w:val="24"/>
              </w:rPr>
              <w:t>Area</w:t>
            </w:r>
          </w:p>
        </w:tc>
        <w:tc>
          <w:tcPr>
            <w:tcW w:w="8673" w:type="dxa"/>
          </w:tcPr>
          <w:p w14:paraId="28FDA2B2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color w:val="000000"/>
                <w:kern w:val="32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32"/>
                <w:szCs w:val="24"/>
              </w:rPr>
              <w:t>Responsibilities</w:t>
            </w:r>
          </w:p>
        </w:tc>
      </w:tr>
      <w:tr w:rsidR="00EB45CE" w14:paraId="51CE45A4" w14:textId="77777777">
        <w:trPr>
          <w:trHeight w:val="590"/>
        </w:trPr>
        <w:tc>
          <w:tcPr>
            <w:tcW w:w="1951" w:type="dxa"/>
          </w:tcPr>
          <w:p w14:paraId="208BEFAA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Line Management</w:t>
            </w:r>
          </w:p>
        </w:tc>
        <w:tc>
          <w:tcPr>
            <w:tcW w:w="8673" w:type="dxa"/>
          </w:tcPr>
          <w:p w14:paraId="337605EE" w14:textId="2A2D2872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to: </w:t>
            </w:r>
            <w:r w:rsidR="004D635E">
              <w:rPr>
                <w:rFonts w:ascii="Arial" w:hAnsi="Arial" w:cs="Arial"/>
              </w:rPr>
              <w:t>Head of Faculty</w:t>
            </w:r>
          </w:p>
        </w:tc>
      </w:tr>
      <w:tr w:rsidR="00EB45CE" w14:paraId="6FE3C2CB" w14:textId="77777777">
        <w:trPr>
          <w:trHeight w:val="590"/>
        </w:trPr>
        <w:tc>
          <w:tcPr>
            <w:tcW w:w="1951" w:type="dxa"/>
          </w:tcPr>
          <w:p w14:paraId="715277AC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Teaching &amp; Learning</w:t>
            </w:r>
          </w:p>
        </w:tc>
        <w:tc>
          <w:tcPr>
            <w:tcW w:w="8673" w:type="dxa"/>
          </w:tcPr>
          <w:p w14:paraId="03C5EC30" w14:textId="77777777" w:rsidR="00EB45CE" w:rsidRDefault="00664F8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noProof w:val="0"/>
                <w:lang w:eastAsia="en-GB"/>
              </w:rPr>
            </w:pPr>
            <w:r>
              <w:rPr>
                <w:rFonts w:ascii="Arial" w:hAnsi="Arial" w:cs="Arial"/>
                <w:noProof w:val="0"/>
                <w:lang w:eastAsia="en-GB"/>
              </w:rPr>
              <w:t>Plan and prepare lessons in line with subject schemes of work, using appropriate teaching methods and resources.</w:t>
            </w:r>
          </w:p>
          <w:p w14:paraId="5B0293B9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Schemes of Work and Subject/Faculty/PSHE policies.</w:t>
            </w:r>
          </w:p>
          <w:p w14:paraId="0CEA1972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rigorous form tutoring/PSHE lessons, making planned and effective use of all teaching and tutoring time.</w:t>
            </w:r>
          </w:p>
          <w:p w14:paraId="0BDED9D9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effective and efficient deployment of classroom support.</w:t>
            </w:r>
          </w:p>
          <w:p w14:paraId="7F580C7B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students are fully prepared for external examinations.</w:t>
            </w:r>
          </w:p>
        </w:tc>
      </w:tr>
      <w:tr w:rsidR="00EB45CE" w14:paraId="045B601A" w14:textId="77777777">
        <w:trPr>
          <w:trHeight w:val="276"/>
        </w:trPr>
        <w:tc>
          <w:tcPr>
            <w:tcW w:w="1951" w:type="dxa"/>
          </w:tcPr>
          <w:p w14:paraId="0FB4C62F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Pastoral</w:t>
            </w:r>
          </w:p>
        </w:tc>
        <w:tc>
          <w:tcPr>
            <w:tcW w:w="8673" w:type="dxa"/>
          </w:tcPr>
          <w:p w14:paraId="2523A3DC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high expectations for students’ behaviour, establishing and maintaining a good standard of discipline</w:t>
            </w:r>
          </w:p>
          <w:p w14:paraId="6351FDE5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student supervisory duties and cover for absent colleagues in line with school procedures</w:t>
            </w:r>
          </w:p>
          <w:p w14:paraId="5B862543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discipline in accordance with the school Behaviour for Learning Policy.</w:t>
            </w:r>
          </w:p>
          <w:p w14:paraId="44506AD5" w14:textId="77777777" w:rsidR="00EB45CE" w:rsidRDefault="00664F8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noProof w:val="0"/>
                <w:lang w:eastAsia="en-GB"/>
              </w:rPr>
            </w:pPr>
            <w:r>
              <w:rPr>
                <w:rFonts w:ascii="Arial" w:hAnsi="Arial" w:cs="Arial"/>
                <w:noProof w:val="0"/>
                <w:lang w:eastAsia="en-GB"/>
              </w:rPr>
              <w:t>Encourage good practice with regard to punctuality, behaviour, health &amp; safety, standards of work and homework.</w:t>
            </w:r>
          </w:p>
          <w:p w14:paraId="5C1F5202" w14:textId="77777777" w:rsidR="00EB45CE" w:rsidRDefault="00664F8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noProof w:val="0"/>
                <w:lang w:eastAsia="en-GB"/>
              </w:rPr>
            </w:pPr>
            <w:r>
              <w:rPr>
                <w:rFonts w:ascii="Arial" w:hAnsi="Arial" w:cs="Arial"/>
                <w:noProof w:val="0"/>
                <w:lang w:eastAsia="en-GB"/>
              </w:rPr>
              <w:t>Make every reasonable effort to ensure the Home School Agreement is adhered to.</w:t>
            </w:r>
          </w:p>
          <w:p w14:paraId="3899EE65" w14:textId="77777777" w:rsidR="00EB45CE" w:rsidRDefault="00664F8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noProof w:val="0"/>
                <w:lang w:eastAsia="en-GB"/>
              </w:rPr>
            </w:pPr>
            <w:r>
              <w:rPr>
                <w:rFonts w:ascii="Arial" w:hAnsi="Arial" w:cs="Arial"/>
                <w:noProof w:val="0"/>
                <w:lang w:eastAsia="en-GB"/>
              </w:rPr>
              <w:t>Provide guidance and advice to students on educational and social matters, especially in the role as form tutor, if applicable.</w:t>
            </w:r>
          </w:p>
        </w:tc>
      </w:tr>
      <w:tr w:rsidR="00EB45CE" w14:paraId="4701A93D" w14:textId="77777777">
        <w:trPr>
          <w:trHeight w:val="590"/>
        </w:trPr>
        <w:tc>
          <w:tcPr>
            <w:tcW w:w="1951" w:type="dxa"/>
          </w:tcPr>
          <w:p w14:paraId="40827CE4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Assessment</w:t>
            </w:r>
          </w:p>
        </w:tc>
        <w:tc>
          <w:tcPr>
            <w:tcW w:w="8673" w:type="dxa"/>
          </w:tcPr>
          <w:p w14:paraId="68FE208D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 and record each student’s progress through observation, questioning, testing and marking.</w:t>
            </w:r>
          </w:p>
          <w:p w14:paraId="7833A65F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effective use of national, local and school data to set clear targets for students’ achievement and to monitor progress.</w:t>
            </w:r>
          </w:p>
          <w:p w14:paraId="708292F4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tracking and reporting deadlines.</w:t>
            </w:r>
          </w:p>
          <w:p w14:paraId="5C4C9200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subject/faculty monitoring of student assessment and keep DOLs, HOYs &amp; Form tutors informed about student progress.</w:t>
            </w:r>
          </w:p>
          <w:p w14:paraId="0089F17B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Ensure effective assessment of students for external examinations, as required.</w:t>
            </w:r>
          </w:p>
        </w:tc>
      </w:tr>
      <w:tr w:rsidR="00EB45CE" w14:paraId="2054DE82" w14:textId="77777777">
        <w:trPr>
          <w:trHeight w:val="590"/>
        </w:trPr>
        <w:tc>
          <w:tcPr>
            <w:tcW w:w="1951" w:type="dxa"/>
          </w:tcPr>
          <w:p w14:paraId="25C673C9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lastRenderedPageBreak/>
              <w:t>Reporting/</w:t>
            </w:r>
          </w:p>
          <w:p w14:paraId="4954B72B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</w:rPr>
              <w:t>Communication</w:t>
            </w:r>
          </w:p>
        </w:tc>
        <w:tc>
          <w:tcPr>
            <w:tcW w:w="8673" w:type="dxa"/>
          </w:tcPr>
          <w:p w14:paraId="5203BB98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familiarity with reporting requirements and prepare and present informative reports for parents.</w:t>
            </w:r>
          </w:p>
          <w:p w14:paraId="7440A14A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as appropriate with parents of students and external bodies concerned with student welfare.</w:t>
            </w:r>
          </w:p>
          <w:p w14:paraId="6E788360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part in activities such as Parents’ evenings, Review Days, Open Evenings, Faculty meetings, staff meetings and other meetings/events as required.</w:t>
            </w:r>
          </w:p>
        </w:tc>
      </w:tr>
      <w:tr w:rsidR="00EB45CE" w14:paraId="19E2B83D" w14:textId="77777777">
        <w:trPr>
          <w:trHeight w:val="590"/>
        </w:trPr>
        <w:tc>
          <w:tcPr>
            <w:tcW w:w="1951" w:type="dxa"/>
          </w:tcPr>
          <w:p w14:paraId="72E8D29A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Form Tutorship (if applicable)</w:t>
            </w:r>
          </w:p>
        </w:tc>
        <w:tc>
          <w:tcPr>
            <w:tcW w:w="8673" w:type="dxa"/>
          </w:tcPr>
          <w:p w14:paraId="68E452AE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high aspirations by monitoring the academic progress of form members and their attitudes to learning.</w:t>
            </w:r>
          </w:p>
          <w:p w14:paraId="1A44DD6A" w14:textId="2A88F183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pastoral care of the form group, which supports the aims and values of the school, encouraging positive attitudes towards the Year and Hou</w:t>
            </w:r>
            <w:r w:rsidR="00C56E29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systems.</w:t>
            </w:r>
          </w:p>
          <w:p w14:paraId="5EEEFD2E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and maintain high standards of behaviour and discipline in accordance with the schools Behaviour for Learning policy;</w:t>
            </w:r>
          </w:p>
          <w:p w14:paraId="1173A71B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support academic progress, attitude to learning and the behaviour of form members, intervening when needed and communicating with parents/carers when required.</w:t>
            </w:r>
          </w:p>
          <w:p w14:paraId="1CDE5EAC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family focused events, e.g. Form Tutor Evening and New Intake Evening.</w:t>
            </w:r>
          </w:p>
        </w:tc>
      </w:tr>
      <w:tr w:rsidR="00EB45CE" w14:paraId="3E00992F" w14:textId="77777777">
        <w:trPr>
          <w:trHeight w:val="590"/>
        </w:trPr>
        <w:tc>
          <w:tcPr>
            <w:tcW w:w="1951" w:type="dxa"/>
          </w:tcPr>
          <w:p w14:paraId="29C2C824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Performance Appraisal</w:t>
            </w:r>
          </w:p>
        </w:tc>
        <w:tc>
          <w:tcPr>
            <w:tcW w:w="8673" w:type="dxa"/>
          </w:tcPr>
          <w:p w14:paraId="3084C799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fully in the school’s Performance Appraisal arrangements.</w:t>
            </w:r>
          </w:p>
          <w:p w14:paraId="70EA0D19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own professional development and identify training needs.</w:t>
            </w:r>
          </w:p>
          <w:p w14:paraId="5E057416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part in lesson observations to share good practice and as part of the school’s self-evaluation.</w:t>
            </w:r>
          </w:p>
          <w:p w14:paraId="12436183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on advice and feedback given and be open to support to improve own performance.</w:t>
            </w:r>
          </w:p>
        </w:tc>
      </w:tr>
      <w:tr w:rsidR="00EB45CE" w14:paraId="362BA024" w14:textId="77777777">
        <w:trPr>
          <w:trHeight w:val="590"/>
        </w:trPr>
        <w:tc>
          <w:tcPr>
            <w:tcW w:w="1951" w:type="dxa"/>
          </w:tcPr>
          <w:p w14:paraId="38017B90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 xml:space="preserve">Other </w:t>
            </w:r>
          </w:p>
        </w:tc>
        <w:tc>
          <w:tcPr>
            <w:tcW w:w="8673" w:type="dxa"/>
          </w:tcPr>
          <w:p w14:paraId="2BEE14D6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assemblies</w:t>
            </w:r>
          </w:p>
          <w:p w14:paraId="67A22131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registers for classes.</w:t>
            </w:r>
          </w:p>
          <w:p w14:paraId="51E051A1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suitable cover work in good time for planned absences.</w:t>
            </w:r>
          </w:p>
          <w:p w14:paraId="25A87EDB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effective working relationships and set a good example through personal and professional conduct.</w:t>
            </w:r>
          </w:p>
          <w:p w14:paraId="4C176A94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duties requested by line manager, HOF or Headteacher/SLT link.</w:t>
            </w:r>
          </w:p>
          <w:p w14:paraId="3960937F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play a full part in the life of the school community, to support its distinctive aims and ethos and to encourage staff and students to follow this example. </w:t>
            </w:r>
          </w:p>
          <w:p w14:paraId="49073FE9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promote actively the school’s corporate policies and to comply with the school’s Health and safety policy and undertake risk assessments as appropriate.</w:t>
            </w:r>
          </w:p>
        </w:tc>
      </w:tr>
      <w:tr w:rsidR="00EB45CE" w14:paraId="17DDAD27" w14:textId="77777777">
        <w:trPr>
          <w:trHeight w:val="590"/>
        </w:trPr>
        <w:tc>
          <w:tcPr>
            <w:tcW w:w="1951" w:type="dxa"/>
          </w:tcPr>
          <w:p w14:paraId="42AB5E65" w14:textId="77777777" w:rsidR="00EB45CE" w:rsidRDefault="00664F81">
            <w:pPr>
              <w:keepNext/>
              <w:spacing w:before="40" w:after="40"/>
              <w:outlineLvl w:val="0"/>
              <w:rPr>
                <w:rFonts w:ascii="Arial" w:hAnsi="Arial" w:cs="Arial"/>
                <w:b/>
                <w:kern w:val="32"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</w:rPr>
              <w:t>MPS</w:t>
            </w:r>
          </w:p>
        </w:tc>
        <w:tc>
          <w:tcPr>
            <w:tcW w:w="8673" w:type="dxa"/>
          </w:tcPr>
          <w:p w14:paraId="43510FF3" w14:textId="77777777" w:rsidR="00EB45CE" w:rsidRDefault="00664F81">
            <w:pPr>
              <w:numPr>
                <w:ilvl w:val="0"/>
                <w:numId w:val="1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Pay Scale teachers in Band 1 (Teacher) are expected to meet the criteria laid down in the school’s Pay Policy.</w:t>
            </w:r>
          </w:p>
        </w:tc>
      </w:tr>
    </w:tbl>
    <w:p w14:paraId="2E487CC6" w14:textId="77777777" w:rsidR="00EB45CE" w:rsidRDefault="00EB45CE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  <w:sz w:val="32"/>
          <w:szCs w:val="32"/>
        </w:rPr>
      </w:pPr>
    </w:p>
    <w:sectPr w:rsidR="00EB45CE">
      <w:headerReference w:type="default" r:id="rId12"/>
      <w:footerReference w:type="default" r:id="rId13"/>
      <w:pgSz w:w="11901" w:h="16840" w:code="9"/>
      <w:pgMar w:top="720" w:right="1077" w:bottom="737" w:left="107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2B12" w14:textId="77777777" w:rsidR="001B1CC8" w:rsidRDefault="001B1CC8">
      <w:r>
        <w:separator/>
      </w:r>
    </w:p>
  </w:endnote>
  <w:endnote w:type="continuationSeparator" w:id="0">
    <w:p w14:paraId="3655E538" w14:textId="77777777" w:rsidR="001B1CC8" w:rsidRDefault="001B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B135" w14:textId="77777777" w:rsidR="00EB45CE" w:rsidRDefault="00EB45CE">
    <w:pPr>
      <w:pStyle w:val="Footer"/>
      <w:ind w:hanging="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F964" w14:textId="77777777" w:rsidR="001B1CC8" w:rsidRDefault="001B1CC8">
      <w:r>
        <w:separator/>
      </w:r>
    </w:p>
  </w:footnote>
  <w:footnote w:type="continuationSeparator" w:id="0">
    <w:p w14:paraId="2D26EE1F" w14:textId="77777777" w:rsidR="001B1CC8" w:rsidRDefault="001B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05B5" w14:textId="77777777" w:rsidR="00EB45CE" w:rsidRDefault="00EB45CE">
    <w:pPr>
      <w:pStyle w:val="Header"/>
      <w:ind w:hanging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94A"/>
    <w:multiLevelType w:val="hybridMultilevel"/>
    <w:tmpl w:val="E0D861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244E4A"/>
    <w:multiLevelType w:val="hybridMultilevel"/>
    <w:tmpl w:val="7A8A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14D6"/>
    <w:multiLevelType w:val="hybridMultilevel"/>
    <w:tmpl w:val="FCE0EA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2167C3"/>
    <w:multiLevelType w:val="hybridMultilevel"/>
    <w:tmpl w:val="DC5A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CB9"/>
    <w:multiLevelType w:val="multilevel"/>
    <w:tmpl w:val="94E8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786F"/>
    <w:multiLevelType w:val="hybridMultilevel"/>
    <w:tmpl w:val="3536E77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6A51CC"/>
    <w:multiLevelType w:val="multilevel"/>
    <w:tmpl w:val="7D44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C5293"/>
    <w:multiLevelType w:val="hybridMultilevel"/>
    <w:tmpl w:val="56C2AAB8"/>
    <w:lvl w:ilvl="0" w:tplc="C114D416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77EB3"/>
    <w:multiLevelType w:val="hybridMultilevel"/>
    <w:tmpl w:val="CADA8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F02A0"/>
    <w:multiLevelType w:val="hybridMultilevel"/>
    <w:tmpl w:val="854A123C"/>
    <w:lvl w:ilvl="0" w:tplc="464E8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452B"/>
    <w:multiLevelType w:val="hybridMultilevel"/>
    <w:tmpl w:val="9C80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F433C"/>
    <w:multiLevelType w:val="hybridMultilevel"/>
    <w:tmpl w:val="39D2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3493C"/>
    <w:multiLevelType w:val="hybridMultilevel"/>
    <w:tmpl w:val="7CEA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66B3D"/>
    <w:multiLevelType w:val="hybridMultilevel"/>
    <w:tmpl w:val="06F6729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90D6D80"/>
    <w:multiLevelType w:val="hybridMultilevel"/>
    <w:tmpl w:val="3CA876D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FE44034"/>
    <w:multiLevelType w:val="hybridMultilevel"/>
    <w:tmpl w:val="72A2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155C6"/>
    <w:multiLevelType w:val="hybridMultilevel"/>
    <w:tmpl w:val="A3F2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F6AA1"/>
    <w:multiLevelType w:val="hybridMultilevel"/>
    <w:tmpl w:val="E1A2B8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21F9"/>
    <w:multiLevelType w:val="multilevel"/>
    <w:tmpl w:val="2BFE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2462010">
    <w:abstractNumId w:val="14"/>
  </w:num>
  <w:num w:numId="2" w16cid:durableId="976184921">
    <w:abstractNumId w:val="3"/>
  </w:num>
  <w:num w:numId="3" w16cid:durableId="1583175045">
    <w:abstractNumId w:val="9"/>
  </w:num>
  <w:num w:numId="4" w16cid:durableId="887575143">
    <w:abstractNumId w:val="19"/>
  </w:num>
  <w:num w:numId="5" w16cid:durableId="1865822735">
    <w:abstractNumId w:val="7"/>
  </w:num>
  <w:num w:numId="6" w16cid:durableId="2073430268">
    <w:abstractNumId w:val="4"/>
  </w:num>
  <w:num w:numId="7" w16cid:durableId="148638205">
    <w:abstractNumId w:val="15"/>
  </w:num>
  <w:num w:numId="8" w16cid:durableId="432020953">
    <w:abstractNumId w:val="6"/>
  </w:num>
  <w:num w:numId="9" w16cid:durableId="852765017">
    <w:abstractNumId w:val="13"/>
  </w:num>
  <w:num w:numId="10" w16cid:durableId="492599093">
    <w:abstractNumId w:val="10"/>
  </w:num>
  <w:num w:numId="11" w16cid:durableId="1087386251">
    <w:abstractNumId w:val="8"/>
  </w:num>
  <w:num w:numId="12" w16cid:durableId="294222389">
    <w:abstractNumId w:val="5"/>
  </w:num>
  <w:num w:numId="13" w16cid:durableId="1683580849">
    <w:abstractNumId w:val="18"/>
  </w:num>
  <w:num w:numId="14" w16cid:durableId="640230399">
    <w:abstractNumId w:val="1"/>
  </w:num>
  <w:num w:numId="15" w16cid:durableId="1113326243">
    <w:abstractNumId w:val="17"/>
  </w:num>
  <w:num w:numId="16" w16cid:durableId="1283878817">
    <w:abstractNumId w:val="12"/>
  </w:num>
  <w:num w:numId="17" w16cid:durableId="587543589">
    <w:abstractNumId w:val="2"/>
  </w:num>
  <w:num w:numId="18" w16cid:durableId="1220245073">
    <w:abstractNumId w:val="0"/>
  </w:num>
  <w:num w:numId="19" w16cid:durableId="962921929">
    <w:abstractNumId w:val="11"/>
  </w:num>
  <w:num w:numId="20" w16cid:durableId="276255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CE"/>
    <w:rsid w:val="001B1CC8"/>
    <w:rsid w:val="00261D71"/>
    <w:rsid w:val="002D427E"/>
    <w:rsid w:val="00317F58"/>
    <w:rsid w:val="004D635E"/>
    <w:rsid w:val="004F0925"/>
    <w:rsid w:val="004F4322"/>
    <w:rsid w:val="00664F81"/>
    <w:rsid w:val="00A83BAD"/>
    <w:rsid w:val="00AD6D18"/>
    <w:rsid w:val="00B946E1"/>
    <w:rsid w:val="00C51E51"/>
    <w:rsid w:val="00C56E29"/>
    <w:rsid w:val="00E402D3"/>
    <w:rsid w:val="00E574C0"/>
    <w:rsid w:val="00EB45CE"/>
    <w:rsid w:val="00E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B5F05"/>
  <w15:chartTrackingRefBased/>
  <w15:docId w15:val="{3F0CFDE5-87EA-4A42-BDE8-B10C44BC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old" w:eastAsia="Dotum" w:hAnsi="Arial Bold"/>
      <w:color w:val="207DC4"/>
      <w:sz w:val="4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eastAsia="Dotum" w:hAnsi="Arial"/>
      <w:b/>
      <w:color w:val="F19612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eastAsia="Dotum" w:hAnsi="Arial"/>
      <w:color w:val="000000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Bold" w:eastAsia="Dotum" w:hAnsi="Arial Bold"/>
      <w:color w:val="207DC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noProof w:val="0"/>
      <w:lang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  <w:style w:type="character" w:customStyle="1" w:styleId="swulcontent">
    <w:name w:val="sw_ul_content"/>
    <w:basedOn w:val="DefaultParagraphFont"/>
  </w:style>
  <w:style w:type="paragraph" w:customStyle="1" w:styleId="p1">
    <w:name w:val="p1"/>
    <w:basedOn w:val="Normal"/>
    <w:pPr>
      <w:spacing w:after="150"/>
    </w:pPr>
    <w:rPr>
      <w:rFonts w:ascii="Times New Roman" w:eastAsia="Times New Roman" w:hAnsi="Times New Roman"/>
      <w:noProof w:val="0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A1">
    <w:name w:val="A1"/>
    <w:uiPriority w:val="99"/>
    <w:rPr>
      <w:rFonts w:cs="Gotham Book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pPr>
      <w:autoSpaceDE w:val="0"/>
      <w:autoSpaceDN w:val="0"/>
      <w:adjustRightInd w:val="0"/>
      <w:spacing w:line="241" w:lineRule="atLeast"/>
    </w:pPr>
    <w:rPr>
      <w:rFonts w:ascii="Gotham Medium" w:hAnsi="Gotham Medium"/>
      <w:noProof w:val="0"/>
      <w:szCs w:val="24"/>
      <w:lang w:eastAsia="en-GB"/>
    </w:rPr>
  </w:style>
  <w:style w:type="character" w:customStyle="1" w:styleId="kplpt">
    <w:name w:val="kplp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b/>
      <w:bCs/>
      <w:noProof w:val="0"/>
      <w:szCs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Helvetica" w:hAnsi="Helvetica"/>
      <w:b/>
      <w:noProof/>
      <w:kern w:val="32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802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67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1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0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13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11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64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439">
                              <w:marLeft w:val="0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65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008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852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7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40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75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13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29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932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7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A2CA"/>
                                                        <w:left w:val="single" w:sz="6" w:space="0" w:color="00A2CA"/>
                                                        <w:bottom w:val="single" w:sz="6" w:space="0" w:color="00A2CA"/>
                                                        <w:right w:val="single" w:sz="6" w:space="0" w:color="00A2CA"/>
                                                      </w:divBdr>
                                                      <w:divsChild>
                                                        <w:div w:id="4201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6414">
                              <w:marLeft w:val="0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7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1397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16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29379F5F53542AE8160A9BCBCE0A8" ma:contentTypeVersion="18" ma:contentTypeDescription="Create a new document." ma:contentTypeScope="" ma:versionID="d5a097db43dd720e09b4353bc0d272fc">
  <xsd:schema xmlns:xsd="http://www.w3.org/2001/XMLSchema" xmlns:xs="http://www.w3.org/2001/XMLSchema" xmlns:p="http://schemas.microsoft.com/office/2006/metadata/properties" xmlns:ns3="aaf2c39d-d724-4a59-a971-5a6f54a0ce9c" xmlns:ns4="049bd1fa-fedf-44f5-aaeb-749fe377bbfe" targetNamespace="http://schemas.microsoft.com/office/2006/metadata/properties" ma:root="true" ma:fieldsID="21caebfee29253634cb33b9c9d19a7e6" ns3:_="" ns4:_="">
    <xsd:import namespace="aaf2c39d-d724-4a59-a971-5a6f54a0ce9c"/>
    <xsd:import namespace="049bd1fa-fedf-44f5-aaeb-749fe377b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c39d-d724-4a59-a971-5a6f54a0c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bd1fa-fedf-44f5-aaeb-749fe377b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f2c39d-d724-4a59-a971-5a6f54a0ce9c" xsi:nil="true"/>
  </documentManagement>
</p:properties>
</file>

<file path=customXml/itemProps1.xml><?xml version="1.0" encoding="utf-8"?>
<ds:datastoreItem xmlns:ds="http://schemas.openxmlformats.org/officeDocument/2006/customXml" ds:itemID="{565D6723-7523-4B4F-9C73-195DCC7F8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50C0-8438-45D7-AB45-E044A1DF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2c39d-d724-4a59-a971-5a6f54a0ce9c"/>
    <ds:schemaRef ds:uri="049bd1fa-fedf-44f5-aaeb-749fe377b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0F674-B6BD-449A-AAEE-4B98E4FD5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22BEE-E6CD-46AE-8BB3-BB7166FC7C46}">
  <ds:schemaRefs>
    <ds:schemaRef ds:uri="http://schemas.microsoft.com/office/2006/metadata/properties"/>
    <ds:schemaRef ds:uri="http://schemas.microsoft.com/office/infopath/2007/PartnerControls"/>
    <ds:schemaRef ds:uri="aaf2c39d-d724-4a59-a971-5a6f54a0ce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Whitehot Creative</Company>
  <LinksUpToDate>false</LinksUpToDate>
  <CharactersWithSpaces>6618</CharactersWithSpaces>
  <SharedDoc>false</SharedDoc>
  <HLinks>
    <vt:vector size="84" baseType="variant">
      <vt:variant>
        <vt:i4>7798879</vt:i4>
      </vt:variant>
      <vt:variant>
        <vt:i4>39</vt:i4>
      </vt:variant>
      <vt:variant>
        <vt:i4>0</vt:i4>
      </vt:variant>
      <vt:variant>
        <vt:i4>5</vt:i4>
      </vt:variant>
      <vt:variant>
        <vt:lpwstr>mailto:HR@nobel.herts.sch.uk</vt:lpwstr>
      </vt:variant>
      <vt:variant>
        <vt:lpwstr/>
      </vt:variant>
      <vt:variant>
        <vt:i4>1179733</vt:i4>
      </vt:variant>
      <vt:variant>
        <vt:i4>36</vt:i4>
      </vt:variant>
      <vt:variant>
        <vt:i4>0</vt:i4>
      </vt:variant>
      <vt:variant>
        <vt:i4>5</vt:i4>
      </vt:variant>
      <vt:variant>
        <vt:lpwstr>https://twitter.com/nobelschooluk</vt:lpwstr>
      </vt:variant>
      <vt:variant>
        <vt:lpwstr/>
      </vt:variant>
      <vt:variant>
        <vt:i4>2949165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https://www.facebook.com/nobelschooluk</vt:lpwstr>
      </vt:variant>
      <vt:variant>
        <vt:lpwstr/>
      </vt:variant>
      <vt:variant>
        <vt:i4>3604585</vt:i4>
      </vt:variant>
      <vt:variant>
        <vt:i4>30</vt:i4>
      </vt:variant>
      <vt:variant>
        <vt:i4>0</vt:i4>
      </vt:variant>
      <vt:variant>
        <vt:i4>5</vt:i4>
      </vt:variant>
      <vt:variant>
        <vt:lpwstr>http://thenobelschool.org/</vt:lpwstr>
      </vt:variant>
      <vt:variant>
        <vt:lpwstr/>
      </vt:variant>
      <vt:variant>
        <vt:i4>5505044</vt:i4>
      </vt:variant>
      <vt:variant>
        <vt:i4>27</vt:i4>
      </vt:variant>
      <vt:variant>
        <vt:i4>0</vt:i4>
      </vt:variant>
      <vt:variant>
        <vt:i4>5</vt:i4>
      </vt:variant>
      <vt:variant>
        <vt:lpwstr>http://thenobelschool.org/venues/</vt:lpwstr>
      </vt:variant>
      <vt:variant>
        <vt:lpwstr/>
      </vt:variant>
      <vt:variant>
        <vt:i4>3080291</vt:i4>
      </vt:variant>
      <vt:variant>
        <vt:i4>24</vt:i4>
      </vt:variant>
      <vt:variant>
        <vt:i4>0</vt:i4>
      </vt:variant>
      <vt:variant>
        <vt:i4>5</vt:i4>
      </vt:variant>
      <vt:variant>
        <vt:lpwstr>http://thenobelschool.org/venues/fitness-suite/</vt:lpwstr>
      </vt:variant>
      <vt:variant>
        <vt:lpwstr/>
      </vt:variant>
      <vt:variant>
        <vt:i4>5701711</vt:i4>
      </vt:variant>
      <vt:variant>
        <vt:i4>21</vt:i4>
      </vt:variant>
      <vt:variant>
        <vt:i4>0</vt:i4>
      </vt:variant>
      <vt:variant>
        <vt:i4>5</vt:i4>
      </vt:variant>
      <vt:variant>
        <vt:lpwstr>http://thenobelschool.org/about-the-school/governors/</vt:lpwstr>
      </vt:variant>
      <vt:variant>
        <vt:lpwstr/>
      </vt:variant>
      <vt:variant>
        <vt:i4>7733283</vt:i4>
      </vt:variant>
      <vt:variant>
        <vt:i4>18</vt:i4>
      </vt:variant>
      <vt:variant>
        <vt:i4>0</vt:i4>
      </vt:variant>
      <vt:variant>
        <vt:i4>5</vt:i4>
      </vt:variant>
      <vt:variant>
        <vt:lpwstr>http://thenobelschool.org/venues/school-facilities/</vt:lpwstr>
      </vt:variant>
      <vt:variant>
        <vt:lpwstr/>
      </vt:variant>
      <vt:variant>
        <vt:i4>5046353</vt:i4>
      </vt:variant>
      <vt:variant>
        <vt:i4>15</vt:i4>
      </vt:variant>
      <vt:variant>
        <vt:i4>0</vt:i4>
      </vt:variant>
      <vt:variant>
        <vt:i4>5</vt:i4>
      </vt:variant>
      <vt:variant>
        <vt:lpwstr>http://www.hertsforlearning.co.uk/team/nqt-induction-service</vt:lpwstr>
      </vt:variant>
      <vt:variant>
        <vt:lpwstr/>
      </vt:variant>
      <vt:variant>
        <vt:i4>131082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http://www.educationtrust.org.uk/)and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http://www.northhertsteachingalliance.org/</vt:lpwstr>
      </vt:variant>
      <vt:variant>
        <vt:lpwstr/>
      </vt:variant>
      <vt:variant>
        <vt:i4>4522052</vt:i4>
      </vt:variant>
      <vt:variant>
        <vt:i4>6</vt:i4>
      </vt:variant>
      <vt:variant>
        <vt:i4>0</vt:i4>
      </vt:variant>
      <vt:variant>
        <vt:i4>5</vt:i4>
      </vt:variant>
      <vt:variant>
        <vt:lpwstr>http://www.educationtrust.org.uk/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S9PSsqPHRAhXFqxoKHTUSDmEQjRwIBw&amp;url=http://www.stevenage.gov.uk/regeneration/172013/172007/&amp;psig=AFQjCNEdHOl6wC1Ot-CRrRV6D4ffZQeW8w&amp;ust=1486121530276066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http://www.stevenage.gov.uk/regeneration/131675/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Earl</dc:creator>
  <cp:keywords/>
  <cp:lastModifiedBy>Peter Dean</cp:lastModifiedBy>
  <cp:revision>5</cp:revision>
  <cp:lastPrinted>2017-05-26T11:40:00Z</cp:lastPrinted>
  <dcterms:created xsi:type="dcterms:W3CDTF">2025-01-06T12:15:00Z</dcterms:created>
  <dcterms:modified xsi:type="dcterms:W3CDTF">2025-01-06T12:19:00Z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0x01010040F29379F5F53542AE8160A9BCBCE0A8</vt:lpwstr>
  </property>
</Properties>
</file>